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Paraugu ņemšana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Bsal</w:t>
      </w:r>
      <w:r w:rsidR="00000000" w:rsidRPr="00000000" w:rsidDel="00000000">
        <w:rPr>
          <w:rStyle w:val="paragraph_header"/>
          <w:b w:val="1"/>
          <w:rtl w:val="0"/>
        </w:rPr>
        <w:t xml:space="preserve"> noteikšanai un apstrāde pret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Bsal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Piektajā karantīnas nedēļā no salamandru ādas ņem uztriepju paraugus laboratoriskiem izmeklējumiem </w:t>
      </w:r>
      <w:r w:rsidR="00000000" w:rsidRPr="00000000" w:rsidDel="00000000">
        <w:rPr>
          <w:i w:val="1"/>
          <w:rtl w:val="0"/>
        </w:rPr>
        <w:t xml:space="preserve">Bsal</w:t>
      </w:r>
      <w:r w:rsidR="00000000" w:rsidRPr="00000000" w:rsidDel="00000000">
        <w:rPr>
          <w:rtl w:val="0"/>
        </w:rPr>
        <w:t xml:space="preserve"> noteikšanai. Paraugu skaits atkarīgs no dzīvnieku skaita epidemioloģiskajā vienībā.</w:t>
      </w:r>
    </w:p>
    <w:tbl>
      <w:tblPr>
        <w:tblStyle w:val="DefaultTable"/>
        <w:bidiVisual w:val="0"/>
        <w:tblW w:w="9641.0" w:type="dxa"/>
        <w:tblInd w:w="0.0" w:type="dxa"/>
        <w:jc w:val="both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55"/>
        <w:gridCol w:w="1034"/>
        <w:gridCol w:w="1004"/>
        <w:gridCol w:w="973"/>
        <w:gridCol w:w="952"/>
        <w:gridCol w:w="912"/>
        <w:gridCol w:w="861"/>
        <w:gridCol w:w="810"/>
        <w:gridCol w:w="687"/>
        <w:tblGridChange w:id="0">
          <w:tblGrid>
            <w:gridCol w:w="1055"/>
            <w:gridCol w:w="1034"/>
            <w:gridCol w:w="1004"/>
            <w:gridCol w:w="973"/>
            <w:gridCol w:w="952"/>
            <w:gridCol w:w="912"/>
            <w:gridCol w:w="861"/>
            <w:gridCol w:w="810"/>
            <w:gridCol w:w="68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 epidemioloģiskajā vienībā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 vai mazāk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Testējamo dzīvnieku/paraugu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Visas sūtījumā iekļautās salamandras apstrādā pret </w:t>
      </w:r>
      <w:r w:rsidR="00000000" w:rsidRPr="00000000" w:rsidDel="00000000">
        <w:rPr>
          <w:i w:val="1"/>
          <w:rtl w:val="0"/>
        </w:rPr>
        <w:t xml:space="preserve">Bsal</w:t>
      </w:r>
      <w:r w:rsidR="00000000" w:rsidRPr="00000000" w:rsidDel="00000000">
        <w:rPr>
          <w:rtl w:val="0"/>
        </w:rPr>
        <w:t xml:space="preserve"> vienā no šādiem veidiem: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salamandras ne mazāk kā 12 dienas tur vismaz 25 °C temperatūrā;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salamandras ne mazāk kā 10 dienas tur vismaz 20 °C temperatūrā, to kombinējot ar apstrādi, kuras laikā divas reizes dienā paredz 10 minūšu ilgu iegremdēšanu </w:t>
      </w:r>
      <w:r w:rsidR="00000000" w:rsidRPr="00000000" w:rsidDel="00000000">
        <w:rPr>
          <w:i w:val="1"/>
          <w:rtl w:val="0"/>
        </w:rPr>
        <w:t xml:space="preserve">polymyxin E</w:t>
      </w:r>
      <w:r w:rsidR="00000000" w:rsidRPr="00000000" w:rsidDel="00000000">
        <w:rPr>
          <w:rtl w:val="0"/>
        </w:rPr>
        <w:t xml:space="preserve"> (2000 IV/ml) vannā un pēc tam apsmidzina ar vorikonazolu (12,5 μg/ml);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izmantojot apstrādes metodi, kas iznīcina </w:t>
      </w:r>
      <w:r w:rsidR="00000000" w:rsidRPr="00000000" w:rsidDel="00000000">
        <w:rPr>
          <w:i w:val="1"/>
          <w:rtl w:val="0"/>
        </w:rPr>
        <w:t xml:space="preserve">Bsal </w:t>
      </w:r>
      <w:r w:rsidR="00000000" w:rsidRPr="00000000" w:rsidDel="00000000">
        <w:rPr>
          <w:rtl w:val="0"/>
        </w:rPr>
        <w:t xml:space="preserve">izraisītāju ar līdzvērtīgiem rezultātiem un ir aprakstīta zinātniski recenzētā rakstā, kurš publicēts zinātniskā žurnālā.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21-TA-1649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21-TA-1649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noteikumu_projekts_p1_21-TA-1649.docx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