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w:t>
      </w:r>
      <w:r w:rsidR="00000000" w:rsidRPr="00000000" w:rsidDel="00000000">
        <w:rPr>
          <w:rStyle w:val="paragraph"/>
          <w:i w:val="1"/>
          <w:rtl w:val="0"/>
        </w:rPr>
        <w:t xml:space="preserve">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"Pasākumi Covid-19 pandēmijas seku mazināšanai" 13.1.4. specifiskā atbalsta mērķa "Atveseļošanas pasākumi kultūras jomā" (turpmāk – specifiskais atbalsts) otro projektu iesniegumu atlases kārtu "Daudzpusīgas profesionālās mākslas pieejamības nodrošināšana nacionālas vai reģionālas nozīmes attīstības centros Latvijā"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otrajai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iesnieguma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otro 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otrās atlases kārtas īstenošanu nodrošina Kultūras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sniegt atbalstu kultūras nozares organizācijām, lai mazinātu Covid-19 pandēmijas izraisītās krīzes sekas un saglabātu darba 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kultūras pakalpojumu šo noteikumu ietvaros uzskatāms māksliniecisko pasākumu plāns, kuru īstenojot kultūras vērtības vai kultūras mantojums tiek padarīts pieejams sabiedrībai vai sabiedrība tiek iepazīstināta 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otrās atlases kārtas mērķa grupa ir kultūras organizācijas, kas nodrošina profesionālās mākslas pieejamību, un vietējie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otrās atlases kārtas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nozares organizāciju skaits – ne mazāk kā septiņas kultūras organizācijas,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REACT-EU 2021. gada piešķīrumam atbalstīto kultūras nozares organizāciju skaits – ne mazāk kā sešas kultūras organizācijas;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plānotajam REACT-EU 2022. gada piešķīrumam atbalstīto kultūras nozares organizāciju skaits – vismaz viena kultūras 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attīstīti ne mazāk kā septiņi jauni pakalpojumi,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REACT-EU 2021. gada piešķīrumam attīstīti jauni pakalpojumi – ne mazāk kā seši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REACT-EU 2022. gada piešķīrumam attīstīti jauni pakalpojumi – vismaz viens pakalpojums.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Otrās atlases kārtas ietvaros pieejamais kopējais attiecināmais finansējums ir ne mazāk kā 3 850 000</w:t>
      </w:r>
      <w:r w:rsidR="00000000" w:rsidRPr="00000000" w:rsidDel="00000000">
        <w:rPr>
          <w:i w:val="1"/>
          <w:rtl w:val="0"/>
        </w:rPr>
        <w:t xml:space="preserve"> euro</w:t>
      </w:r>
      <w:r w:rsidR="00000000" w:rsidRPr="00000000" w:rsidDel="00000000">
        <w:rPr>
          <w:rtl w:val="0"/>
        </w:rPr>
        <w:t xml:space="preserve">, tai skaitā Eiropas Reģionālās attīstības fonda finansējums – ne vairāk kā 3 272 500 </w:t>
      </w:r>
      <w:r w:rsidR="00000000" w:rsidRPr="00000000" w:rsidDel="00000000">
        <w:rPr>
          <w:i w:val="1"/>
          <w:rtl w:val="0"/>
        </w:rPr>
        <w:t xml:space="preserve">euro</w:t>
      </w:r>
      <w:r w:rsidR="00000000" w:rsidRPr="00000000" w:rsidDel="00000000">
        <w:rPr>
          <w:rtl w:val="0"/>
        </w:rPr>
        <w:t xml:space="preserve"> un valsts budžeta finansējums – 577 500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plānotajam REACT-EU 2021. gada piešķīrumam kopējais attiecināmais finansējums ir  2 972 274</w:t>
      </w:r>
      <w:r w:rsidR="00000000" w:rsidRPr="00000000" w:rsidDel="00000000">
        <w:rPr>
          <w:i w:val="1"/>
          <w:rtl w:val="0"/>
        </w:rPr>
        <w:t xml:space="preserve"> euro</w:t>
      </w:r>
      <w:r w:rsidR="00000000" w:rsidRPr="00000000" w:rsidDel="00000000">
        <w:rPr>
          <w:rtl w:val="0"/>
        </w:rPr>
        <w:t xml:space="preserve">, tai skaitā Eiropas Reģionālās attīstības fonda finansējums – 2 526 433</w:t>
      </w:r>
      <w:r w:rsidR="00000000" w:rsidRPr="00000000" w:rsidDel="00000000">
        <w:rPr>
          <w:i w:val="1"/>
          <w:rtl w:val="0"/>
        </w:rPr>
        <w:t xml:space="preserve"> euro</w:t>
      </w:r>
      <w:r w:rsidR="00000000" w:rsidRPr="00000000" w:rsidDel="00000000">
        <w:rPr>
          <w:rtl w:val="0"/>
        </w:rPr>
        <w:t xml:space="preserve"> un valsts budžeta finansējums – 445 841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plānotajam REACT-EU 2022. gada piešķīrumam kopējais attiecināmais finansējums ir 877 726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746 067 </w:t>
      </w:r>
      <w:r w:rsidR="00000000" w:rsidRPr="00000000" w:rsidDel="00000000">
        <w:rPr>
          <w:i w:val="1"/>
          <w:rtl w:val="0"/>
        </w:rPr>
        <w:t xml:space="preserve">euro</w:t>
      </w:r>
      <w:r w:rsidR="00000000" w:rsidRPr="00000000" w:rsidDel="00000000">
        <w:rPr>
          <w:rtl w:val="0"/>
        </w:rPr>
        <w:t xml:space="preserve"> un valsts budžeta finansējums –131 659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maksimālais attiecināmais Eiropas Reģionālās attīstības fonda finansējuma apmērs nepārsniedz 85 procentus no kopējā projekta attiecināmā finansējuma. Pārējo finansējumu – 15 procentus no kopējā projekta attiecināmā finansējuma – veido valsts budžeta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Otrās atlases kārtas projekta iesniedzējam maksimālais pieejamais projekta finansējums ir 550 000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iesniedzēji, kas pēc sadarbības iestādes lēmuma par projekta iesnieguma apstiprināšanu kļūst par finansējuma saņēmējiem, otrās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ar ierobežotu atbildību "Vidzemes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"Kurzemes filharmonija";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ar ierobežotu atbildību "Austrumlatvijas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ar ierobežotu atbildību "Lielais Dzintars";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valstspilsētas pašvaldības iestāde "Daugavpils Marka Rotko mākslas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 ar ierobežotu atbildību "Dzintaru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 ar ierobežotu atbildību "Liepājas teātris".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sadarbības iestādes uzaicinājumā noteiktajā termiņā iesniedz projekta iesniegumu sadarbības iestādē saskaņā ar projekta iesniegumu atlases nolikuma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projektu,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ilgtspēju vismaz piecus gadus pēc tam, kad sadarbības iestāde ir veikusi noslēguma maksājumu.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uzkrāj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minētajiem rezultāta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ietvaros veikto publisko iepirkumu līgumu vērtību (</w:t>
      </w:r>
      <w:r w:rsidR="00000000" w:rsidRPr="00000000" w:rsidDel="00000000">
        <w:rPr>
          <w:i w:val="1"/>
          <w:rtl w:val="0"/>
        </w:rPr>
        <w:t xml:space="preserve">euro</w:t>
      </w:r>
      <w:r w:rsidR="00000000" w:rsidRPr="00000000" w:rsidDel="00000000">
        <w:rPr>
          <w:rtl w:val="0"/>
        </w:rPr>
        <w:t xml:space="preserve">), kuros izmantoti zaļā iepirkuma principi.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reģionālo daudzfunkcionālo centru darbības un daudzpusīgas profesionālās mākslas pieejamības nodrošināšana nacionālas vai reģionālas nozīmes attīstības centros Latvijas reģionos;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īstenošanas personāla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ietvaros preču un pakalpojumu iepirkumos ir atbalstāmas vides prasības (zaļais publiskais iepirkums), lai nodrošinātu atbilstību horizontālā principa "Ilgtspējīga attīstība" projektu vērtēšanas kritērijam. Finansējuma saņēmējs piesaista preču piegādātājus un pakalpojuma sniedzējus atbilstoši normatīvajiem aktiem publisko iepirkumu jomā, īstenojot atklātu, pārredzamu, nediskriminējošu un konkurenci nodrošinošu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Izdevumi ir attiecināmi no 2022.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tiešās attiecināmās projekta vadības personāla un īstenošanas personāla atlīdzības izmaksas, kuras saskaņā ar Komisijas regulas Nr. 1303/2013 68.a panta 1. 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īstenošanas personāla iekšzemes komandējumu un darba braucienu izmaksas, kam piemēro Finanšu ministrijas metodikā "Vienas vienības izmaksu standarta likmes aprēķina un piemērošanas metodika iekšzemes komandējumu izmaksām darbības programmas "Izaugsme un nodarbinātība" īstenošanai" noteiktās vienas vienības izmaksu standarta likmes;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vadītāja un projekta īstenošanas personāla ārvalstu komandējumu un darba braucienu izmaksas atbilstoši normatīvajiem aktiem par kārtību, kādā atlīdzināmi ar komandējumiem saistītie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personāla un īstenošanas personāla degvielas izmaksas vieglajam transportlīdzeklim un reģionālās starppilsētu nozīmes un reģionālās vietējas nozīmes sabiedriskā transporta izmaksas, kam piemēro Finanšu ministrijas metodikā "Vienas vienības izmaksu standarta likmes aprēķina un piemērošanas metodika 1 km izmaksām darbības programmas "Izaugsme un nodarbinātība" īstenošanai" noteiktās vienas vienības izmaksu standarta likmes;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kultūras institūciju māksliniecisko pasākumu plāna īstenošanu, nodrošinot daudzpusīgas profesionālās mākslas pieejamību nacionālas vai reģionālas nozīmes attīstības centrā, saskaņā ar atbildīgās iestādes apstiprināto ikgadējo māksliniecisko pasākumu plānu: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mārketinga un reklāmas izmaksas, tai skaitā mākslas darbu kolekcijas popularizēšanas izdevumi, izstāžu katalogu un pētījumu izdevniecības darbu izmaksas un poligrāfijas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izmaksas par autortiesību un blakus tiesību izmantošanu un autoratlīdzība, tai skaitā iedzīvotāju ienākuma nodoklis un valsts sociālās apdrošināšanas obligātās iemaksas;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ārpakalpojuma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 tiešsaistes tehniskā nodrošinājuma un skaņas, apgaismojuma un video nodrošināšanas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māksliniecisko pasākumu plāna īstenošanai nepieciešamo kostīmu, dekorāciju, scenogrāfijas materiālu, rekvizītu un iestudējuma materiālu nomas, izgatavošanas un iegādes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mākslas darbu transportēšanas, uzglabāšanas, restauratoru, konservatoru un vērtētāju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koncertprogrammu un teātra viesizrāžu iegādes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kuratora pakalpojuma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maksājumi aģentūrām, uzņēmuma līgumu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ceļa un transportēšanas izdevumi, uzturēšanās izdevumi, tai skaitā viesnīcas un ēdināšanas izmaksas, apdrošināšana, tai skaitā oriģinālo mākslas darbu apdrošināšana, un iedzīvotāju ienākuma nodokļa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mākslas darbu iepirkšanas un kolekciju papildināšanas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materiālu izmaksas (ekspozīciju materiāli, teātra iestudējumu materiāli, tai skaitā scenogrāfijas materiāli, mākslinieku rezidenču un simpoziju materiāli);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māksliniecisko pasākumu plāna īstenošanai nepieciešamo transportlīdzekļu uzturēšanas izmaksas un iekārtu, aprīkojuma, mūzikas instrumentu nomas, iegādes, uzturēšanas un remonta izmaksas, tai skaitā mākslas darbu krājuma telpu pielāgošana kolekcijas uzglabāšanai;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izglītības programmu, meistarklašu, rezidenču programmu īstenošanu;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tehniskā nodrošinājuma izmaksas, kas nepieciešamas vides pieejamības nodrošināšanai un pasākuma apmeklētāju ērtībai, drošībai un higiēnai;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darbinieku apmācību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izmaksas ir pieaugušas, salīdzinot ar lēmumā par projekta apstiprināšanu fiksētajām izmaksām, finansējuma saņēmējs sedz sadārdzinājumu no saviem līdzekļiem. Finansējuma saņēmējs sadārdzinājumu nevar segt no līdzekļiem, kas piešķirti kā publisks finansējums.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otrās atlases kārtas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Projektus īsteno saskaņā ar vienošanos vai līgumu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ietvaros finansējuma saņēmējiem sniedz atbalstu darbībām, kam nav saimnieciska rakstura. Ar kultūru vai mākslu saistītām darbībām, no kurām tiek gūti ieņēmumi, nav saimnieciska rakstura, ja finansējuma saņēmēja ieņēmumi ir mazāki par 50 procentiem no kopējā ar kultūru vai mākslu saistītā finansējuma saņēmēja gada budžeta.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saņēmēji 2022., 2023. un 2024. gadā līdz kārtējā gada 31. martam atbilstoši atbildīgās iestādes izstrādātajai veidlapai iesniedz atbildīgajā iestādē informāciju par iepriekšējā kalendāra gadā gūtajiem ieņēmumiem un veiktajiem izdevumiem un plānoto ieņēmumu un izdevumu prognozi par kārtējo kalendāra gadu.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nodrošināt atsevišķu grāmatvedības uzskaiti ar projekta īstenošanu saistītajiem ieņēmumiem un izdevumiem.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Atbildīgā iestāde 2022., 2023. un 2024. gadā pēc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noteiktās informācijas saņemšanas mēneša laikā izvērtē un sniedz atzinumu sadarbības iestādei par finansējuma saņēmēja atbilstību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māksliniecisko pasākumu plānu par 2022. gadu atbildīgajā iestādē iesniedz līdz 2022. gada 2. maijam, bet par 2023. gadu – līdz 2022. gada 15. novembrim. Māksliniecisko pasākumu plāns par kārtējo gadu tiek aizpildīts atbilstoši atbildīgās iestādes izstrādātajai veidlapai.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Specifiskā atbalsta otrās atlases kārtas finansējuma saņēmējs projekta īstenošanas laikā iesniedz atbildīgajā iestādē precizētu māksliniecisko pasākumu plānu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māksliniecisko pasākumu plānu nepieciešams papildināt ar jauniem pasākumiem;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kāds no māksliniecisko pasākumu plāna pasākumiem tiek atcelts un tā īstenošanu nevar nodrošināt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Atbildīgā iestāde izveido darba grupu, kas izskata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noteiktajā kārtībā iesniegtos māksliniecisko pasākumu plānus un mēneša laikā no to iesniegšanas atbildīgajā iestādē sniedz atzinumu sadarbības iestādei par māksliniecisko pasākumu plānu atbilstību specifiskā atbalsta otrās atlases kārtas īstenošanas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finansējuma saņēmējs projekta īstenošanas rezultātā gūst neto ieņēmumus, saskaņā ar Komisijas regulas Nr.  </w:t>
      </w:r>
      <w:r w:rsidR="00000000" w:rsidRPr="00000000" w:rsidDel="00000000">
        <w:rPr>
          <w:rtl w:val="0"/>
        </w:rPr>
        <w:t xml:space="preserve">1303/2013</w:t>
      </w:r>
      <w:r w:rsidR="00000000" w:rsidRPr="00000000" w:rsidDel="00000000">
        <w:rPr>
          <w:rtl w:val="0"/>
        </w:rPr>
        <w:t xml:space="preserve"> 65. panta 8. punktu sadarbības iestāde tos atskaita no noslēguma maksājuma.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īstenošanas rezultātā gūto neto ieņēmumu aprēķinā ņem vērā, ka projekta ietvaros gūtos ieņēmumus var novirzīt ar projekta īstenošanu saistītām darbībām, kas nepieciešamas reģionālo daudzfunkcionālo centru darbības un daudzpusīgas profesionālās mākslas pieejamības nodrošināšanai, īstenojot māksliniecisko pasākumu plānu: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netiešo attiecināmo izmaksu segšanai, ievērojot šādus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īstenošanā netiek izmantota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 netiešo attiecināmo izmaksu vienotā likme, projekta ieņēmumus var novirzīt visu netiešo attiecināmo izmaksu segšanai;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īstenošanā tiek izmantota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 netiešo attiecināmo izmaksu vienotā likme, projekta ieņēmumus nevar novirzīt netiešo attiecināmo izmaksu segšanai;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ēkas un telpu nomas, apsaimniekošanas un uzturēšanas izmaksas, kā arī komunālo pakalpojumu izmaksas šo noteikumu ietvaros nav uzskatāmas par netiešajām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personāla atlīdzības izmaksu segšanai, tai skaitā darba algai, piemaksām, prēmijām, naudas balvām, sociālajām garantijām, kas ietver pabalstus, kompensācijas, veselības apdrošināšanu, obligātās veselības pārbaudes un atvaļinājuma izmaksas, ievērojot šādus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īstenošanā tiek izmantota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 personāla atlīdzības izmaksu vienotā likme, projekta ieņēmumus var novirzīt tām amata kategorijām, kas nav uzskatāmas par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personāla atlīdzības vienotās likmes amata kategorijām;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īstenošanā netiek izmantota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 personāla atlīdzības izmaksu vienotā likme, projekta ieņēmumus var novirzīt visām projekta vadības un īstenošanas personāla amata kategorijām;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finansējuma saņēmējs projekta ieņēmumus novirza projekta vadības un īstenošanas personāla atalgojuma izmaksām, projekta vadības un īstenošanas personāla atalgojums, kam novirza biļešu ieņēmumus, netiek ierobežots ar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vienotās likmes 20 procentu apmēru;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projekta īstenošanas personālu tiek uzskatīts viss personāls, kas ir iesaistīts māksliniecisko pasākumu plāna īstenošanā, tai skaitā personāls, kas nodrošina reģionālo daudzfunkcionālo centru darbību, lai mākslinieciskā plāna īstenošana būtu iespējama;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tiešo attiecināmo izmaksu segšanai;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amortizācijas izmaksu segšanai proporcionāli projekta īstenošanas periodam, ja pamatlīdzekļi nav iegādāti par publisko finansējumu;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daudzfunkcionālo centru infrastruktūras uzturēšanas izmaksu segšanai;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ēku un telpu nomas, apsaimniekošanas un uzturēšanas izmaksu segšanai, kā arī komunālo pakalpojumu izmaksām, proporcionāli laika periodam, kad telpas netiek iznomātas par maksu citām juridiskām personām.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līguma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tai skaitā netiek ievēroti projektā noteiktie termiņi vai ir iestājušies citi apstākļi, kas negatīvi ietekmē vai var ietekmēt specifiskā atbalsta mērķa vai specifiskā atbalsta mērķa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vai līgums par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22-TA-2898</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22-TA-2898</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noteikumu_konsolidētā_versija_22-TA-2898.docx</dc:title>
</cp:coreProperties>
</file>

<file path=docProps/custom.xml><?xml version="1.0" encoding="utf-8"?>
<Properties xmlns="http://schemas.openxmlformats.org/officeDocument/2006/custom-properties" xmlns:vt="http://schemas.openxmlformats.org/officeDocument/2006/docPropsVTypes"/>
</file>