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"Attīstīt viedas energosistēmas, tīklus un enerģijas akumulāciju ārpus Eiropas enerģētikas tīkla" (TEN-E)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un 14.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2021.–2027.gada 2.6.1. specifiskā atbalsta mērķa "Veicināt enerģijas starpsavienojumu un saistītās pārvades, sadales, uzglabāšanas un atbalsta infrastruktūras izbūvi, kā arī kritiskās enerģētikas infrastruktūras aizsardzību un uzlādes infrastruktūras izvēršanu" 2.6.1.2. pasākumu "Attīstīt viedas energosistēmas, tīklus un enerģijas akumulāciju ārpus Eiropas enerģētikas tīkla (TEN-E)" (turpmāk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(turpmāk - ERAF)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ietvaros piešķirtais atbalsts nav kvalificējams kā komercdarbības atbalsts Komercdarbības atbalsta kontroles likuma 5. panta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stiprināt Latvijas enerģētisko drošību un nodrošināt virzību uz enerģētisko neatkarību.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mērķa grupa ir visi Latvijas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2029. gada 31. decembrim pasākumā sasniedzamie projektu uzraudzības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elektroenerģijas jaudu paaugstināšana. Iznākuma rādītāja vērtība tiek sasniegta, ja pasākuma projektu ietvaros paaugstināta jauda divas apakšstacijas, kas nepieciešami elektroenerģijas darbības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pārvietojamās apakšstascijas. Iznākuma rādītāja vērtība tiek sasniegta, ja pasākuma projektu ietvaros iegādāta vismaz viena pārvietojamā apakšstacija;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elektroapgādes drošuma palielināšana iedzīvotājiem. Rezultāta rādītāja vērtība tiek sasniegta, ja pasākuma projektu ietvaros palielināts elektroapgādes drošums 1 871 882 iedzīvotājiem.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atbildīgās iestādes funkcijas pilda Klimata un enerģētikas ministrija (turpmāk – atbildīgā iestāde).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īstenošanai plānotais un pieejamais kopējais attiecināmais finansējums ir 36 470 588</w:t>
      </w:r>
      <w:r w:rsidR="00000000" w:rsidRPr="00000000" w:rsidDel="00000000">
        <w:rPr>
          <w:i w:val="1"/>
          <w:rtl w:val="0"/>
        </w:rPr>
        <w:t xml:space="preserve"> euro</w:t>
      </w:r>
      <w:r w:rsidR="00000000" w:rsidRPr="00000000" w:rsidDel="00000000">
        <w:rPr>
          <w:rtl w:val="0"/>
        </w:rPr>
        <w:t xml:space="preserve">, tai skaitā ERAF finansējums – 31 000 000 </w:t>
      </w:r>
      <w:r w:rsidR="00000000" w:rsidRPr="00000000" w:rsidDel="00000000">
        <w:rPr>
          <w:i w:val="1"/>
          <w:rtl w:val="0"/>
        </w:rPr>
        <w:t xml:space="preserve">euro</w:t>
      </w:r>
      <w:r w:rsidR="00000000" w:rsidRPr="00000000" w:rsidDel="00000000">
        <w:rPr>
          <w:rtl w:val="0"/>
        </w:rPr>
        <w:t xml:space="preserve"> un nacionālais līdzfinansējums, ko nodrošina no valsts budžeta līdzekļiem –  5 470 588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Attiecināmais ERAF finansējuma apmērs nepārsniedz 85 procentus no projektam pieejamā kopējā attiecināmā finansējuma, un nacionālais līdzfinansējums ir 15 procenti no projektam pieejamā kopējā attiecināmā finansējuma</w:t>
      </w:r>
      <w:r w:rsidR="00000000" w:rsidRPr="00000000" w:rsidDel="00000000">
        <w:rPr>
          <w:b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ERAF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kas pēc projekta iesnieguma apstiprināšanas kļūst par finansējuma saņēmēju (turpmāk - finansējuma saņēmējs) ir akciju sabiedrība "Augstsprieguma tīkls" un akciju sabiedrība "Sadales tīkls".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 Projekta iesniedzējs var iesniegt vienu vai vairākus projektu iesniegumus par summu, kas nepārsniedz šādu ERAF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akciju sabiedrība "Sadales tīkls" – 15 000 000</w:t>
      </w:r>
      <w:r w:rsidR="00000000" w:rsidRPr="00000000" w:rsidDel="00000000">
        <w:rPr>
          <w:i w:val="1"/>
          <w:rtl w:val="0"/>
        </w:rPr>
        <w:t xml:space="preserve"> 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akciju sabiedrība "Augstsprieguma tīkls" – 16 000 000 </w:t>
      </w:r>
      <w:r w:rsidR="00000000" w:rsidRPr="00000000" w:rsidDel="00000000">
        <w:rPr>
          <w:i w:val="1"/>
          <w:rtl w:val="0"/>
        </w:rPr>
        <w:t xml:space="preserve">euro.</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atbalstāmas šādas darbības, kas sekmē šo noteikumu 5. punktā minēto uzraudzības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pieslēguma jaudu paaugstināšana, tai skaitā nepieciešamās infrastruktūras būvniecība un iekārtu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elektrolīniju izbūve vai pārbūve uz apdzīvotām vietām, nodrošinot energoapgādes sistēmas stabilāku darbību un uzlabojot energoapgādes drošumu un kvalitāti;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ģeneratoru iegāde, kas nepieciešami elektroenerģijas darbības nepārtrauktības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ģeneratoru pārvietošanai nepieciešamo piekabju vai treileru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pārvietojamu (mobilo) apakšstaciju iegāde ārkārtas un avārijas seku novēršanas mobilitātes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tehniskās dokumentācijas sagatavošana;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un ir attiecināmas tiešās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pasākumā plānotās tiešās attiecināmās izmaksas, kas ir saistītas ar šo noteikumu 14. punktā noteikto darbību īstenošanu un projekta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projekta iesniegumu un īstenošanu saistītās pamatojošās dokumentācijas sagatavošanas izmaksas, kas nav radušās uz darba līguma pamata, kopā nepārsniedzot 10 procentus no projekta kopējām attiecināmajām izmaksām,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par ekspertu konsultācijām, kas nepieciešamas projekta sekmīgai realizācijai, nepārsniedzot piecus procentus no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par inženierbūvju, labiekārtojuma elementu un dabā balstīto risinājumu tehnisko specifikāciju, tehnisko projektu vai būvprojektu sagatavošanu (tai skaitā ar būvniecības ieceri un būvprojekta minimālā sastāvā saistīto sagatavošanas darbu), lai pielāgotos klimata pārmaiņām, kā arī būvprojekta ekspertīzes izmaksas, ja ekspertīzes veikšanu nosaka būvniecības jomu regulējošie normatīvie akti;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ieguldījumu ekonomiskā pamatojuma (tai skaitā investīciju uzturēšanai un ilgtspējai nepieciešamā finansējuma un darbību kopuma izvērtējuma)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autoruzraudzības un būvdarbu būvuzraudzības izmaksas, ja to veikšanu nosaka normatīvie akti būvniecības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un pakalpojumu līgumu izmaksas, iekārtu iegādes un piegādes līgumu izmaksas, garantijas apkalpošanas izmaksas, izņemot šo noteikumu 16.1. apakšpunktā minētās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teritorijas labiekārtošanas izmaksas, nepārsniedzot 10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 Attiecināmajās izmaksās iekļauj tikai obligātās Eiropas Savienības fondu komunikācijas un vizuālās identitātes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neparedzētie izdevumi, kas nepārsniedz piecus procentus no projekta kopējām attiecināmajām izmaksām un kuru izlietošanu finansējuma saņēmējs saskaņo ar sadarbības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rezerves izmaksas, nepārsniedzot 10 procentus no attiecināmo būvniecības izmaksu kopsummas, ja projektā paredzētas būvniecības darbības un attiecināmajās izmaksās nav iekļauti šo noteikumu 16.6. apakšpunktā minētie neparedzētie izdevumi. Rezerves izmaksu izlietošanu finansējuma saņēmējs saskaņo ar sadarbības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saskaņā ar valsts normatīvajiem aktiem pievienotās vērtības nodokļa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tiešās attiecināmās projekta vadības personāla izmaksas, kuras saskaņā ar regulas Nr. 2021/1060 55. panta 1. punktu projekta iesniegumā plāno kā vienu izmaksu pozīciju, piemērojot izmaksu vienoto likmi sešu procentu apmērā no šo noteikumu 16. punktā minētajām pārējām tiešajām attiecināmajām izmaksām, kas nav tiešās attiecināmās personāla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16. punktā minētās projekta netiešās attiecināmās izmaksas ir finansējuma saņēmēja projekta vadības personāla administratīvās izmaksas, kuras plāno kā vienu izmaksu pozīciju, piemērojot netiešo izmaksu vienoto likmi 15 procentu apmērā no šo noteikumu 16.9. apakšpunktā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Izmaksas ir attiecināmas no 2025.gada 29.maija. Projekta iesniegumā neiekļauj līdz projekta iesnieguma iesniegšanas dienai pabeigtas darbības un finansējumu tām nepiešķir.</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var pārdalīt finansējumu starp atbalstītajām darbībām nepārsniedzot kopējo šo noteikumu 12.punktā minēto finansējumu un nodrošinot atbilstību šo noteikumu 16. punktā noteiktajiem izmaksu pozīciju procentuālajiem ierobežojumiem.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un tā pamatojumu un pamatojoties uz finansējuma saņēmēja rakstisku avansa pieprasījumu, var piešķirt finansējuma saņēmējam avansu pēc civiltiesiskā līguma noslēgšanas. Finansējuma saņēmējs avansa pieprasījumu sagatavo un sadarbības iestāde apstiprina, ņemot vērā nosacījumu, ka plānotā avansa apmērs atbilst spējai to izlietot sešu mēnešu laikā no tā izmaksas dienas.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projektus īsteno ne vēlāk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Īstenojot projektu pasākuma ietvaros,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un sniedz informāciju sadarbības iestādei par projektā sasniegto šo noteikumu 4. punktā minētajiem uzraudzības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izpilda attiecināmās prasības un nodrošina, ka projekts atbilst principiem "Nenodarīt būtisku kaitējumu" un "Klimatdrošināšana" un Eiropas Savienības kohēzijas politikas programmā 2021.–2027. gadam noteiktajiem Eiropas Savienības un Latvijas Republikas normatīvajiem aktiem vides aizsardzības un klimata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lai pasākuma ietvaros attiecināmās izmaksas nepārklātos ar citiem valsts un ārvalstu finanšu atbalsta instrumentiem un novērš dubultā finansējuma risku;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sasniegto rezultātu ilgtspēju vismaz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komunikācijas un vizuālās identitātes prasību pasākumus saskaņā ar regulas Nr.2021/1060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glabā projekta dokumentāciju un nodrošina tās pieejamību visā projekta īstenošanas laikā un uzraudzības periodā, kas nepārsniedz piecus gadus pēc pēdējā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interešu konflikta neesamību saskaņā ar Eiropas Parlamenta un Padomes 2024. gada 23. septembra Regulas (ES, Euratom) 2024/2509 par finanšu noteikumiem, ko piemēro Savienības vispārējam budžetam (pārstrādāta redakcija), 61. pantu un normatīvajiem aktiem publisko iepirkumu jomā, kā arī paraksta interešu konflikta neesamības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projekta īstenošanai nepieciešamās preces un pakalpojumus iegādājas saskaņā ar normatīvajiem aktiem publisko iepirkumu jomā, īstenojot atklātu, pārredzamu, nediskriminējošu un konkurenci nodrošinošu konkursa procedūru.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25-TA-1669</w:t>
    </w:r>
    <w:r>
      <w:br/>
    </w:r>
    <w:r w:rsidR="00000000" w:rsidRPr="00000000" w:rsidDel="00000000">
      <w:rPr>
        <w:rtl w:val="0"/>
      </w:rPr>
      <w:t xml:space="preserve">Izdrukāts 29.07.2026. 23.37 - 1.0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25-TA-1669</w:t>
    </w:r>
    <w:r>
      <w:br/>
    </w:r>
    <w:r w:rsidR="00000000" w:rsidRPr="00000000" w:rsidDel="00000000">
      <w:rPr>
        <w:rtl w:val="0"/>
      </w:rPr>
      <w:t xml:space="preserve">Izdrukāts 29.07.2026. 23.37 - 1.0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noteikumu_projekts_25-TA-1669.docx</dc:title>
</cp:coreProperties>
</file>

<file path=docProps/custom.xml><?xml version="1.0" encoding="utf-8"?>
<Properties xmlns="http://schemas.openxmlformats.org/officeDocument/2006/custom-properties" xmlns:vt="http://schemas.openxmlformats.org/officeDocument/2006/docPropsVTypes"/>
</file>