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(turpmāk – pasākums) otro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kārtas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pasākuma otrajā kārtā.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mērķis ir sabiedrībā balstītu sociālo pakalpojumu pieejamības palielināšana un sabiedrībā balstītu sociālo pakalpojumu sniegšana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kurām ir noteikta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pensijas vecumā, tai skaitā personas ar demenci.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kārtas ietvaros līdz 2029. gada 31. decembrim ir sasniedzams šāds programmas uzraudzības rādītājs: programmas iznākuma rādītājs – sociālās atstumtības riskam pakļautas personas, kuras ir saņēmušas sabiedrībā balstītus sociālos pakalpojumus, – 237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kārtas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otro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iestāde atklātu projektu iesniegumu atlasi organizē, atlases termiņus saskaņojot ar Labklājības ministriju kā atbildīgo iestādi. Atklātu projektu iesniegumu atlasi izsludina par visu pasākuma otrajai kārtai pieejamo kopējo attiecināmo finansējumu. Ja projektu iesniegumu atlasē neapstiprina projektu iesniegumus par visu pasākuma otrajai kārtai pieejamo kopējo attiecināmo finansējumu, sadarbības iestāde var rīkot atkārtotu projektu iesniegumu atlasi par atlikušo pasākuma otrajai kārtai pieejamo kopējo attiecināmo finansējumu, saskaņojot to ar Labklājības ministriju kā atbildīgo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otrajai kārtai plānotais un pieejamais kopējais attiecināmais finansējums ir 5 622 672 </w:t>
      </w:r>
      <w:r w:rsidR="00000000" w:rsidRPr="00000000" w:rsidDel="00000000">
        <w:rPr>
          <w:i w:val="1"/>
          <w:rtl w:val="0"/>
        </w:rPr>
        <w:t xml:space="preserve">euro</w:t>
      </w:r>
      <w:r w:rsidR="00000000" w:rsidRPr="00000000" w:rsidDel="00000000">
        <w:rPr>
          <w:rtl w:val="0"/>
        </w:rPr>
        <w:t xml:space="preserve">, tai skaitā Eiropas Sociālā fonda Plus finansējums – 4 779 271 </w:t>
      </w:r>
      <w:r w:rsidR="00000000" w:rsidRPr="00000000" w:rsidDel="00000000">
        <w:rPr>
          <w:i w:val="1"/>
          <w:rtl w:val="0"/>
        </w:rPr>
        <w:t xml:space="preserve">euro</w:t>
      </w:r>
      <w:r w:rsidR="00000000" w:rsidRPr="00000000" w:rsidDel="00000000">
        <w:rPr>
          <w:rtl w:val="0"/>
        </w:rPr>
        <w:t xml:space="preserve"> un nacionālais līdzfinansējums – 843 401 </w:t>
      </w:r>
      <w:r w:rsidR="00000000" w:rsidRPr="00000000" w:rsidDel="00000000">
        <w:rPr>
          <w:i w:val="1"/>
          <w:rtl w:val="0"/>
        </w:rPr>
        <w:t xml:space="preserve">euro</w:t>
      </w:r>
      <w:r w:rsidR="00000000" w:rsidRPr="00000000" w:rsidDel="00000000">
        <w:rPr>
          <w:rtl w:val="0"/>
        </w:rPr>
        <w:t xml:space="preserve">, ko veido valsts un pašvaldību budžeta finansējums. Pašvaldību budžetu kā līdzfinansējuma avotu projektā plāno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minētie projektu iesniedzēji, savukārt valsts budžetu –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minētie projektu iesniedzēji.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otrās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un nacionālais līdzfinansējums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Minimālais vienā projektā iesaistāmo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skaits ir 5, bet maksimālais – 25. Projektā var iesaistīt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attiecībā uz kurām pašvaldības sociālais dienests ir pieņēmis lēmumu par attiecīgā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 sabiedrībā balstītā sociālā pakalpojuma piešķiršanu un kuras šādu pakalpojumu uz projekta iesniegšanas brīdi nesaņem pie attiecīgā projekta iesniedzēja. Īstenojot projektu, var iesaistīt lielāku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skaitu, ja nepieciešama mērķa grupas personu nomaiņa un netiek pārsniegta projektā apstiprinātā attiecināmo izmaksu kopsumma.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Projektā plānoto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minēto sabiedrībā balstīto sociālo pakalpojumu sniegšanu var nodrošināt infrastruktūrā, kuru projekta iesniedzējs ir izveidojis par saviem vai citu nacionālo vai ārvalstu finanšu instrumentu līdzekļiem un kurā līdz projekta iesnieguma iesniegšanas brīdim: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vēl nav uzsākta sociālo pakalpojumu sniegšana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uzsākta sociālo pakalpojumu sniegšana, bet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nenodrošina pilnu izveidotās infrastruktūras noslodzi;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sociālos pakalpojumus, un projekta iesniedzējs ir reģistrējis papildu pakalpojuma sniegšanas vietas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sociālos pakalpojumus, un projekta iesniedzējs esošajās reģistrētajās pakalpojumu sniegšanas vietās paredz tos sniegt lielākam šo noteikumu </w:t>
      </w:r>
      <w:r w:rsidR="00000000" w:rsidRPr="00000000" w:rsidDel="00000000">
        <w:rPr>
          <w:rtl w:val="0"/>
        </w:rPr>
        <w:t xml:space="preserve">3.</w:t>
      </w:r>
      <w:r w:rsidR="00000000" w:rsidRPr="00000000" w:rsidDel="00000000">
        <w:rPr>
          <w:rtl w:val="0"/>
        </w:rPr>
        <w:t xml:space="preserve"> punktā minēto mērķa grupu personu skaitam.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otrās kārtas ietvaros projekta minimālā attiecināmo izmaksu kopsumma nav ierobežota.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attiecināmo izmaksu kopsummu aprēķina, reizinot projektā iesaistāmo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mērķa grupas personu skaitu ar vienas vienības izmaksām vienai mērķa grupas personai, ievērojot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minētos izmaksu ierobežojumus.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otrās kārtas ietvaros izmaksas ir attiecināmas, ja tās atbilst šajos noteikumos minētajām izmaksu pozīcijām un ir radušās no dienas, kad noslēgts līgums vai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otrās kārtas ietvaros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izveidots sociālo pakalpojumu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sociālo pakalpojumu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katrā projektu iesniegumu atlasē var iesniegt vienu projekta iesniegumu par sabiedrībā balstītu sociālo pakalpojumu sniegšanu vienas pašvaldības administratīvajā teritorijā. Projekta iesniedzējam un sociālajiem pakalpojumiem, kurus projekta ietvaros plānots nodrošināt projekta mērķa grupas personām, ir jābūt reģistrētiem sociālo pakalpojumu sniedzēju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vajadzību izvērtēšana un sociālās rehabilitācijas, sociālās aprūpes, bērna attīstības vai personas vai ģimenes atbalsta pakalpojumu sniegšanas plāna (turpmāk – atbalsta plāns) izstrāde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balstītu sociālo pakalpojumu sniegšana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otrās kārtas ietvaros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atbalstāmo darbību īstenošanai plāno šādas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dienas aprūpes pakalpojumu (dienas aprūpes centrs un specializētās darbnīcas) sniegšanas izmaksas – 8,25 </w:t>
      </w:r>
      <w:r w:rsidR="00000000" w:rsidRPr="00000000" w:rsidDel="00000000">
        <w:rPr>
          <w:i w:val="1"/>
          <w:rtl w:val="0"/>
        </w:rPr>
        <w:t xml:space="preserve">euro</w:t>
      </w:r>
      <w:r w:rsidR="00000000" w:rsidRPr="00000000" w:rsidDel="00000000">
        <w:rPr>
          <w:rtl w:val="0"/>
        </w:rPr>
        <w:t xml:space="preserve"> stundā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ievērojot, ka kopējais atbalsts sabiedrībā balstītu dienas aprūpes pakalpojumu sniegšanai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nepārsniedz 31 670 </w:t>
      </w:r>
      <w:r w:rsidR="00000000" w:rsidRPr="00000000" w:rsidDel="00000000">
        <w:rPr>
          <w:i w:val="1"/>
          <w:rtl w:val="0"/>
        </w:rPr>
        <w:t xml:space="preserve">euro</w:t>
      </w:r>
      <w:r w:rsidR="00000000" w:rsidRPr="00000000" w:rsidDel="00000000">
        <w:rPr>
          <w:rtl w:val="0"/>
        </w:rPr>
        <w:t xml:space="preserve"> 24 mēnešu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vai 1705 </w:t>
      </w:r>
      <w:r w:rsidR="00000000" w:rsidRPr="00000000" w:rsidDel="00000000">
        <w:rPr>
          <w:i w:val="1"/>
          <w:rtl w:val="0"/>
        </w:rPr>
        <w:t xml:space="preserve">euro</w:t>
      </w:r>
      <w:r w:rsidR="00000000" w:rsidRPr="00000000" w:rsidDel="00000000">
        <w:rPr>
          <w:rtl w:val="0"/>
        </w:rPr>
        <w:t xml:space="preserve"> mēnesī par personai individuāli sniegtu atbalstu, ievērojot, ka kopējais atbalsts pakalpojuma sniegšanai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nepārsniedz 40 918</w:t>
      </w:r>
      <w:r w:rsidR="00000000" w:rsidRPr="00000000" w:rsidDel="00000000">
        <w:rPr>
          <w:i w:val="1"/>
          <w:rtl w:val="0"/>
        </w:rPr>
        <w:t xml:space="preserve"> euro</w:t>
      </w:r>
      <w:r w:rsidR="00000000" w:rsidRPr="00000000" w:rsidDel="00000000">
        <w:rPr>
          <w:rtl w:val="0"/>
        </w:rPr>
        <w:t xml:space="preserve"> 24 mēnešu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otrās kārtas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otrās kārtas ietvaros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sešu mēnešu laikā saimnieciskā gada ietvaros. Finansējuma saņēmējam avansu sadarbības iestāde var piešķirt līdz 30 procentiem no Eiropas Sociālā fonda Plus finansējuma un valsts budžeta finansējuma kopējās summas, ievērojot, ka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atbilstoši normatīvajiem aktiem par prasībām sociālo pakalpojumu sniedzējiem izvērtē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personas vajadzības un izstrādā atbalsta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minētās atbalstāmās darbības ietvaros finansējuma saņēmējs atbilstoši normatīvajiem aktiem par prasībām sociālo pakalpojumu sniedzējiem nodrošina šādu sabiedrībā balstītu sociālo pakalpojumu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grupu māja (dzīvoklis)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dienas aprūpes centrs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darbnīcas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minēto pakalpojumu, finansējuma saņēmējs: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paredz vienu no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minētajām vienas vienības izmaksu likmēm – stundas likmi vai mēneša likmi;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prasībām, kas noteiktas normatīvajos aktos par prasībām sociālo pakalpojumu sniedzējiem, nodrošina mērķa grupas personai sociālo aprūpi un, ja nepieciešams, veselības aprūpes speciālistu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minētos pakalpojumus, finansējuma saņēmējs papildus prasībām, kas noteiktas normatīvajos aktos par prasībām sociālo pakalpojumu sniedzējiem, nodrošina mērķa grupas personai veselības aprūpes speciālistu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kopējo attiecināmo izmaksu ietvaros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 sabiedrībā balstītus sociālos pakalpojumus sniedz ne ilgāk kā 24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sniegto atbalstu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personām nefinansē un neplāno finansēt no citiem valsts, pašvaldības vai ārvalstu finanšu atbalsta instrumentiem, kā arī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w:t>
      </w:r>
      <w:r w:rsidR="00000000" w:rsidRPr="00000000" w:rsidDel="00000000">
        <w:rPr>
          <w:rtl w:val="0"/>
        </w:rPr>
        <w:t xml:space="preserve">2021/1060</w:t>
      </w:r>
      <w:r w:rsidR="00000000" w:rsidRPr="00000000" w:rsidDel="00000000">
        <w:rPr>
          <w:rtl w:val="0"/>
        </w:rPr>
        <w:t xml:space="preserve"> 47. un 50. pantā un normatīvajos aktos par kārtību, kādā Eiropas Savienības fondu vadībā iesaistītās institūcijas nodrošina šo fondu ieviešanu 2021.–2027. gada plānošanas periodā, tai skaitā savā tīmekļvietnē (ja tāda ir) un sociālajos tīklos ievieto informāciju par projekta īstenošanu un aktualizē to, tiklīdz pieejama jaunāka informācija, bet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pakalpojuma sniedzēju šo noteikumu </w:t>
      </w:r>
      <w:r w:rsidR="00000000" w:rsidRPr="00000000" w:rsidDel="00000000">
        <w:rPr>
          <w:rtl w:val="0"/>
        </w:rPr>
        <w:t xml:space="preserve">30.2.</w:t>
      </w:r>
      <w:r w:rsidR="00000000" w:rsidRPr="00000000" w:rsidDel="00000000">
        <w:rPr>
          <w:rtl w:val="0"/>
        </w:rPr>
        <w:t xml:space="preserve"> vai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minētajā kārtībā. Ja tiek dibinātas darba tiesiskās attiecības, paredzot atlīdzības izmaksas, personālu nodarbina normālu vai nepilnu darba laiku, tai skaitā atlīdzībai var piemērot daļlaika izmaksu attiecināmības principu. Ja projekta vadības un īstenošanas personāla atlīdzībai piemēro daļlaika izmaksu attiecināmības principu, veic projekta vadības un īstenošanas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projekta īstenošanā iesaistīto personu datu apstrādi, identificēšanu un uzskaiti projekta īstenošanas un maksājuma pieprasījumu sagatavošanas nolūkā;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atbalsta pakalpojumus saņēmušo personu ar invaliditāti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uzskaita un sadarbības iestādē iesniedz apkopotus datus par atbalstu saņēmušajām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otrās kārtas ietvaros neplāno atbalstu tādām darbībām, kurām atbalsts atbilstoši Komercdarbības atbalsta kontroles likuma 5. pantam būtu kvalificējams kā komercdarbības atbalsts. Ja projekta īstenošanas laikā konstatē, ka ir sniegts atbalsts saimnieciskām darbībām, kas kvalificējams kā komercdarbības atbalsts, finansējuma saņēmējs atmaksā sadarbības iestādei nelikumīgi saņemto atbalstu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nesaņem līdzmaksājumu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mērķa grupas personām par projekta ietvaros personām nodrošinātajiem sabiedrībā balstītiem sociālajiem pakalpojumiem, izņemot samaksu par dzīvojamās telpas, virtuves un koplietošanas telpu ekspluatāciju atbilstoši personas lietojamajai daļai šo noteikumu </w:t>
      </w:r>
      <w:r w:rsidR="00000000" w:rsidRPr="00000000" w:rsidDel="00000000">
        <w:rPr>
          <w:rtl w:val="0"/>
        </w:rPr>
        <w:t xml:space="preserve">25.1.</w:t>
      </w:r>
      <w:r w:rsidR="00000000" w:rsidRPr="00000000" w:rsidDel="00000000">
        <w:rPr>
          <w:rtl w:val="0"/>
        </w:rPr>
        <w:t xml:space="preserve"> apakšpunktā</w:t>
      </w:r>
      <w:r w:rsidR="00000000" w:rsidRPr="00000000" w:rsidDel="00000000">
        <w:rPr>
          <w:rtl w:val="0"/>
        </w:rPr>
        <w:t xml:space="preserve"> minētā pakalpojuma sniegšanas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finansējuma saņēmējs ir pašvaldība vai tās izveidots sociālo pakalpojumu sniedzējs, tas papildus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atbalstāmo darbību īstenošanai nepieciešamo personālu šo noteikumu </w:t>
      </w:r>
      <w:r w:rsidR="00000000" w:rsidRPr="00000000" w:rsidDel="00000000">
        <w:rPr>
          <w:rtl w:val="0"/>
        </w:rPr>
        <w:t xml:space="preserve">29.3.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kārtībā, nodrošina, ka projekta īstenošanas laikā ir ievēroti interešu konflikta, korupcijas un krāpšanas novēršanas nosacījumi, vismaz paredzot, ka projekta vadībā un īstenošanā iesaistītais personāls un iepirkuma līgumu izpildītāji ir informēti par korupcijas un interešu konflikta novēršanas jautājumiem un krāpšanas pazīmēm, kā arī par pienākumu ziņot par konstatētajām aizdomām un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30.1.1.</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īstenojot sociāli atbildīgus, inovatīvus un zaļus publiskos iepirkumus.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finansējuma saņēmējs ir cits sociālo pakalpojumu sniedzējs, tas papildus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atbalstāmo darbību īstenošanai nepieciešamo personālu šo noteikumu </w:t>
      </w:r>
      <w:r w:rsidR="00000000" w:rsidRPr="00000000" w:rsidDel="00000000">
        <w:rPr>
          <w:rtl w:val="0"/>
        </w:rPr>
        <w:t xml:space="preserve">29.3.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kārtībā, nodrošina, ka projekta īstenošanas laikā ir ievēroti interešu konflikta, korupcijas un krāpšanas novēršanas nosacījumi, vismaz paredzot, ka projekta vadībā un īstenošanā iesaistītais personāls un iepirkuma līgumu izpildītāji ir informēti par korupcijas un interešu konflikta novēršanas jautājumiem un krāpšanas pazīmēm, kā arī par pienākumu ziņot par konstatētajām aizdomām un ir informēti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iepirkumus atbilstoši Publisko iepirkumu likumam vai Ministru kabineta 2017. gada 28. februāra noteikumiem Nr. 104 "Noteikumi par iepirkuma procedūru un tās piemērošanas kārtību pasūtītāja finansētiem projektiem". Ja iepirkumi veicami atbilstoši minēto noteikumu regulējumam, ievēro minētajos noteikumos norādīto līguma slēgšanas tiesību piešķiršanas procedūru un ierobežojumus šādu līgumu slēgšanai, tai skaitā aizpilda un paraksta minēto noteikumu 1. pielikumā norādīto apliecinājumu par interešu konflikta neesību un pievieno to iepirkuma līgumu slēgšanas dokumentācijai.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otrās kārtas ietvaros visi īstenotie projekti ir stratēģiski svarīgu projektu kopa. Lai nodrošinātu papildu komunikācijas pasākumus par stratēģiski svarīgu projektu īstenošanu, atbildīgā iestāde izstrādā komunikācijas plānu pasākuma otrās kārtas stratēģiski svarīgo projektu kopai un pasākuma otrās kārtas īstenošanas laikā organizē vismaz vienu informatīvo pasākumu vai aktivitāti, kurā iesaista Eiropas Komisijas pārstāvniecību Latvijā, Labklājības ministriju,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otrās kārtas ietvaros projektu īsteno ne ilgāk par 30 mēnešiem no dienas, kad ar sadarbības iestādi ir noslēgta vienošanās vai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otrās kārtas ietvaros projektu īsteno saskaņā ar vienošanos vai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25-TA-1555</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25-TA-1555</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noteikumu_konsolidētā_versija_25-TA-1555.docx</dc:title>
</cp:coreProperties>
</file>

<file path=docProps/custom.xml><?xml version="1.0" encoding="utf-8"?>
<Properties xmlns="http://schemas.openxmlformats.org/officeDocument/2006/custom-properties" xmlns:vt="http://schemas.openxmlformats.org/officeDocument/2006/docPropsVTypes"/>
</file>