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tiek īstenota starpinstitucionālās sadarbības programma “Bērna māja”"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23-TA-626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