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decembrī (prot. Nr. 81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Vidzemes ielā 20, Daugavpilī, valstij piederošo 3/8 domājamo daļu atsavināšanu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ievērojot Publiskas personas mantas atsavināšanas likuma 14. panta nosacījumus, valstij piederošās 3/8 domājamās daļas no nekustamā īpašuma (nekustamā īpašuma kadastra Nr. 0500 508 2001) – dzīvojamās mājas (būves kadastra apzīmējums 0500 008 2001 001) un sešām palīgēkām (būvju kadastra apzīmējumi 0500 008 2001 002, 0500 008 2001 003, 0500 008 2001 006, 0500 008 2001 009, 0500 008 2001 010 un 0500 008 2001 011) – Vidzemes ielā 20, Daugavpilī (turpmāk – nekustamā īpašuma daļa), kas ierakstītas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nekustamā īpašuma daļu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nekustamā īpašuma daļu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21-TA-469</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21-TA-469</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rīkojuma_projekts_21-TA-469.docx</dc:title>
</cp:coreProperties>
</file>

<file path=docProps/custom.xml><?xml version="1.0" encoding="utf-8"?>
<Properties xmlns="http://schemas.openxmlformats.org/officeDocument/2006/custom-properties" xmlns:vt="http://schemas.openxmlformats.org/officeDocument/2006/docPropsVTypes"/>
</file>