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219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8. aprīlī (prot. Nr. 14 22.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22. augusta noteikumos Nr. 475 "Eiropas Savienības Atveseļošanas un noturības mehānisma plāna 3.1. reformu un investīciju virziena "Reģionālā politika" 3.1.2. reformas "Sociālo un nodarbinātības pakalpojumu pieejamība minimālo ienākumu reformas atbalstam" 3.1.2.3.i. investīcijas "Ilgstošas sociālās aprūpes pakalpojuma noturība un nepārtrauktība: jaunu ģimeniskai videi pietuvinātu aprūpes pakalpojumu sniedzēju attīstība pensijas vecuma personām" otrās kārtas īstenošanas un uzraudzības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22. augusta noteikumos Nr. 475 "Eiropas Savienības Atveseļošanas un noturības mehānisma plāna 3.1. reformu un investīciju virziena "Reģionālā politika" 3.1.2. reformas "Sociālo un nodarbinātības pakalpojumu pieejamība minimālo ienākumu reformas atbalstam" 3.1.2.3.i. investīcijas "Ilgstošas sociālās aprūpes pakalpojuma noturība un nepārtrauktība: jaunu ģimeniskai videi pietuvinātu aprūpes pakalpojumu sniedzēju attīstība pensijas vecuma personām" otrās kārtas īstenošanas un uzraudzības noteikumi" (Latvijas Vēstnesis, 2023, 164. nr.; 2024, 133., 173.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Investīcijas otrās kārtas mērķa grupa ir pensijas vecuma personas, kurām pašvaldības sociālais dienests ir piešķīris ilgstošas sociālās aprūpes un sociālās rehabilitācijas pakalpojumu institūcijā, ja izmaksas par šo pakalpojumu ne vairāk kā 85 procentu apmērā no Sociālo pakalpojumu un sociālās palīdzības likuma 13.</w:t>
      </w:r>
      <w:r w:rsidR="00000000" w:rsidRPr="00000000" w:rsidDel="00000000">
        <w:rPr>
          <w:vertAlign w:val="superscript"/>
          <w:rtl w:val="0"/>
        </w:rPr>
        <w:t xml:space="preserve">1</w:t>
      </w:r>
      <w:r w:rsidR="00000000" w:rsidRPr="00000000" w:rsidDel="00000000">
        <w:rPr>
          <w:rtl w:val="0"/>
        </w:rPr>
        <w:t xml:space="preserve"> panta trešajā daļā minētās pensijas vai atlīdzības vai šā likuma 29. panta otrās daļas 1. punktā minētajiem pabalstiem sedz: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pensijas vecuma persona, kurai ir piešķirts trūcīgas vai maznodrošinātas mājsaimniecības statuss. Atlikušo pakalpojuma izmaksu daļu pilnībā līdzfinansē pašvaldība;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pensijas vecuma persona, arī tad, ja tai ir piešķirts trūcīgas un maznodrošinātas mājsaimniecības statuss. Atlikušo pakalpojuma izmaksu daļu daļēji līdzfinansē pašvaldība un daļēji – pati persona no citiem ienākumiem vai tās apgādnieki."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 līdz 2023. gada 30. jūnijam – 6 līgumu noslēgšana par projektu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7.2.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 līdz 2026. gada 30. jūnijam – jaunu vietu nodrošināšana 408 pensijas vecuma personām tādu ilgtermiņa aprūpes pakalpojumu saņemšanai, kas pietuvināti ģimeniskai videi."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Investīcijas otrās kārtas Atveseļošanas fonda finansējums ir 32 535 189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Investīcijas otrās kārtas projektu iesniegumu vērtēšanai aģentūra izveido projektu iesniegumu vērtēšanas komisiju, kuras sastāvā ir aģentūras pārstāvji un vismaz divi ministrijas pārstāvji. Projektu iesniegumu vērtēšanas komisijas balsstiesīgie locekļi paraksta apliecinājumu par interešu konflikta neesību saskaņā ar Eiropas Parlamenta un Padomes 2024. gada 23. septembra Regulas (ES, Euratom) 2024/2509 par finanšu noteikumiem, ko piemēro Savienības vispārējam budžetam (pārstrādāta redakcija), 61. pantu, kā arī apņemas ievērot konfidencialitāti."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21.1.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 Eiropas Parlamenta un Padomes 2024. gada 23. septembra Regulas (ES, Euratom) 2024/2509 par finanšu noteikumiem, ko piemēro Savienības vispārējam budžetam (pārstrādāta redakcija), 138. pantā minētajiem izslēgšanas kritērijiem (turpmāk – izslēgšanas kritēriji). Ja konstatē, ka uz projekta iesniedzēju ir attiecināms kaut viens no izslēgšanas kritērijiem, projekta iesnieguma vērtēšanu neturpina;".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40.1.</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"40.1.</w:t>
      </w:r>
      <w:r w:rsidR="00000000" w:rsidRPr="00000000" w:rsidDel="00000000">
        <w:rPr>
          <w:vertAlign w:val="superscript"/>
          <w:rtl w:val="0"/>
        </w:rPr>
        <w:t xml:space="preserve">1</w:t>
      </w:r>
      <w:r w:rsidR="00000000" w:rsidRPr="00000000" w:rsidDel="00000000">
        <w:rPr>
          <w:rtl w:val="0"/>
        </w:rPr>
        <w:t xml:space="preserve"> šo noteikumu 31.1. un 31.2. apakšpunktā minētās atbalstāmās darbības īstenošanai labiekārto teritoriju tā, lai izveidotu vietu atpūtas un brīvā laika pavadīšanai, rehabilitācijai un rekreācijai, nodrošinātu vides piekļūstamību šo noteikumu 4. punktā minētajām mērķa grupas personām un citiem teritorijas un būves lietotājiem zemes vienībā, uz kuras tiek veidota ģimeniskai videi pietuvinātā pakalpojuma infrastruktūra, kā arī paredzētu nepieciešamo piekļuvi minētajai zemes vienībai,  kas ietver arī servitūta ceļa nodibināšanu un būvniecību un funkcionāli nepieciešamo inženiertehnisko apgādi arī ārpus īpašumā vai lietošanā esošās zemes vienības tādā apmērā, lai nodrošinātu infrastruktūras funkcionalitāti un nodošanu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41.1.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"41.1. novērš dubultfinansēšanas risku un nodrošina, ka projekta ietvaros atbalstāmās darbības un to izmaksas nav finansētas, kā arī tās nav plānots finansēt no citiem valsts, pašvaldības vai ārvalstu finanšu palīdzības instrumentiem;".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Labklājības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Uzulnieks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25-TA-295</w:t>
    </w:r>
    <w:r>
      <w:br/>
    </w:r>
    <w:r w:rsidR="00000000" w:rsidRPr="00000000" w:rsidDel="00000000">
      <w:rPr>
        <w:rtl w:val="0"/>
      </w:rPr>
      <w:t xml:space="preserve">Izdrukāts 29.07.2026. 23.48 - 1.0.VK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25-TA-295</w:t>
    </w:r>
    <w:r>
      <w:br/>
    </w:r>
    <w:r w:rsidR="00000000" w:rsidRPr="00000000" w:rsidDel="00000000">
      <w:rPr>
        <w:rtl w:val="0"/>
      </w:rPr>
      <w:t xml:space="preserve">Izdrukāts 29.07.2026. 23.48 - 1.0.VK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noteikumu_(grozījumu)_projekts_25-TA-295.docx</dc:title>
</cp:coreProperties>
</file>

<file path=docProps/custom.xml><?xml version="1.0" encoding="utf-8"?>
<Properties xmlns="http://schemas.openxmlformats.org/officeDocument/2006/custom-properties" xmlns:vt="http://schemas.openxmlformats.org/officeDocument/2006/docPropsVTypes"/>
</file>