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centra attīstības stratēģija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stratēģijā norādāmā informācija pārklājas ar projekta iesnieguma veidlapā norādāmo informāciju, tad projekta iesniedzējs var neaizpildīt attiecīgo stratēģijas sadaļu, bet norādīt, kurā projekta iesnieguma veidlapas sadaļā nepieciešamā informācija ir atrodama.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Izvēlētā viedās specializācijas joma vai apakšjoma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 "Izvēlētā viedās specializācijas joma vai apakšjoma"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Jomas/apakšjomas pārstāvji, t. sk. zinātniskās institūcijas un augstākās izglītības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Mehānisms jomas/apakšjomas zinātnisko institūciju un augstākās izglītības institūciju iesaistīšanai kompetences centra pētniecības projektu atlases padomē;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Jomas/apakšjomas saimnieciskās darbības veicēju produktu grozs un tā attīstības un pielāgošanas iespējas globālajam tirgum;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Jomas/apakšjomas attīstības tendences Latvijā un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 Saimnieciskās darbības veicēju iespējas attīstīt konkurētspējas nišas;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 Saistītās nozares un jomas (piegāžu ķēžu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 Nākotnes perspektīvākie segmenti globālajā tirgū un ar to saistīto tirgus iespēju un prasību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Izvēlēto pētniecības virzienu pamatojums un atbilstība viedās specializācijas jomām un nozares attīstības tendencēm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1.2. "Izvēlēto pētniecības virzienu pamatojums un atbilstība viedās specializācijas jomām un nozares attīstības tendencēm"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 starp  saimnieciskās darbības veicējiem, zinātniskajām institūcijām un augstākās izglītības institūcijām (</w:t>
      </w:r>
      <w:r w:rsidR="00000000" w:rsidRPr="00000000" w:rsidDel="00000000">
        <w:rPr>
          <w:i w:val="1"/>
          <w:rtl w:val="0"/>
        </w:rPr>
        <w:t xml:space="preserve">sadaļa precizējama pēc KC ieskatiem)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1.3. "Sadarbība starp  saimnieciskās darbības veicējiem, zinātniskajām institūcijām un augstākās izglītības institūcijām"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Raksturota sadarbība starp saimnieciskās darbības veicējiem, zinātniskajām institūcijām un augstākās izglītības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Apzinātas zinātniskās institūcijas, ar kurām ir plānota sadarbība pētījumu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ieguldījums Latvijas viedās specializācijas stratēģijas rādītāju mērķu vērtību sasniegšanā, kompetences centra sasniedzamie rādītāji un stratēģija, kā kompetences centrs sasniegs nodefinētos uzraudzības rādītājus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1.4. "Kompetences centra ieguldījums Latvijas viedās specializācijas stratēģijas rādītāju mērķu vērtību sasniegšanā, kompetences centra sasniedzamie uzraudzības rādītāji un stratēģija, kā kompetences centrs sasniegs nodefinētos uzraudzības rādītājus"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Sasniedzamie uzraudzības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Stratēģija, kā kompetences centrs sasniegs nodefinētos uzraudzības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Kompetences centra ieguldījums Latvijas viedās specializācijas stratēģijas rādītāju mērķu vērtību sasniegšanā.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Iespējamo risku izvērtējums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1.5. "Iespējamo risku izvērtējums"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darbību un sasniedzamo rezultātu ietekmējošie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Risku ietekme un iestāšanās varbūtība;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Pasākumi risku novēršanai.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centra vīzija par ilgtspēju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1.6. "Kompetences centra vīzija par ilgtspēju"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ilgtspējas vīzija;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vīzija par privātā līdzfinansējuma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Kompetences centrā atbalstāmo projektu atlases principi un kritēriji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1.7. "Kompetences centrā atbalstāmo projektu atlases principi un kritēriji"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Ja šajā sadaļā norādāmā informācija pārklājas ar kompetences centra pētniecības projektu apraksta standartformā ietverto informāciju, var neizpildīt šo sadaļu, tā vietā norādot, ka nepieciešamā informācija ir atrodama kompetences centra pētniecības projektu apraksta standartformā.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institucionālā uzbūve: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Kompetences centra vadītāja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Kompetences centra zinātnisko virzienu vadītāju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Projektu atlases padomes sastāvs un loma;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Pēc kādiem principiem tiks lemts, vai iesaistīt pētniecības projekta vērtēšanā starptautiskos vai vietējos ekspertus;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Cik bieži plānotas kompetences centra projekta atlases padomes sēdes (šī informācija ir nepieciešama, lai Ekonomikas ministrijas pārstāvji varētu plānot noslodzi dalībai projektu atlases padomes sēdēs);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Atbalstāmo projektu atlases principi un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Vai pētniecības projektam ir starptautisks raksturs;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Horizontālā principa "Ilgtspējīga attīstība" nodrošināšana, papildu punktus piešķirot pētniecības projektiem par eko-inovatīvu tehnoloģiju attīstību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Par pētniecības projekta atbilstību viedās specializācijas jomām vai uzņēmējdarbības atklājuma procesā noteiktajai specializācijas jomai vai apakšjomai;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iv. Par pētniecības projekta atbilstību 4.‒8. tehnoloģiskās gatavības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Cita būtiska informācija atkarībā no jomu specifikas (</w:t>
      </w:r>
      <w:r w:rsidR="00000000" w:rsidRPr="00000000" w:rsidDel="00000000">
        <w:rPr>
          <w:i w:val="1"/>
          <w:rtl w:val="0"/>
        </w:rPr>
        <w:t xml:space="preserve">sadaļa precizējama pēc KC ieskatiem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1.8. "Cita būtiska informācija atkarībā no jomu specifikas"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Kompetences centra darbības pašnovērtējums Eiropas Savienības struktūrfondu un Kohēzijas fonda 2007.‒2013.g. plānošanas perioda programmas ietvaros,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Kompetences centra darbības pašnovērtējums Eiropas Savienības struktūrfondu un Kohēzijas fonda 2014.‒2020.g. plānošanas perioda programmas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Cita būtiska informācija atkarībā no jomu specifikas.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Attīstības stratēģijā paredzētas konkrētas darbības sadarbības uzsākšanai ar līdzīgām organizācijām (klasteri, klasteru apvienības, nozaru asociācijas u. tml.) gan Latvijā, gan ārpus Latvijas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1.9. "Attīstības stratēģijā paredzētas konkrētas darbības sadarbības uzsākšanai ar līdzīgām organizācijām (klasteri, klasteru apvienības, nozaru asociācijas u. tml.) gan Latvijā, gan ārpus Latvijas" vērtēšanā. Attīstības stratēģijā ir iekļauts pamatots plānoto darbību plāns, tas ir pilnībā raksturots un rada pārliecību, ka tā īstenošana veicinās starptautisko sadarbību, norādīts sadarbības mērķis un ieguvums, kā arī iespēju robežās norādīti sadarbības partneri un darbības sadarbības ietvaros, piemēram, internacionalizācijas darbības kā dalība starptautiskos projektu uzsaukumos (BSR Innovation Express, Horizon 2020 u. c .), līdzīgu organizāciju (klasteri, klasteru apvienības, nozaru asociācijas u. tml., kas darbojas klastera nozarē, produktu grupā, u. tml.) apzināšana un sadarbības veicināšana gan Latvijā, gan ārpus Latvijas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Attīstības stratēģijā iekļautajā darbību aprakstā nepieciešams iekļaut vismaz vienu organizētu konferenci un semināru katru gadu, lai nodrošinātu sadarbību ar līdzīgām organizācijām. Darbības aprakstā iespējams iekļaut arī dalību Latvijas vai ārvalstu konferencēs un semināros, veicinot starptautisku sadarbību.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Stratēģijā ir definēti starpnozaru atbalstāmie virzieni, iespējamie sadarbības partneri, sasniedzamie rezultāti, plānotie pasākumi starpnozaru pētījumu sadarbības veicināšanai (</w:t>
      </w:r>
      <w:r w:rsidR="00000000" w:rsidRPr="00000000" w:rsidDel="00000000">
        <w:rPr>
          <w:i w:val="1"/>
          <w:rtl w:val="0"/>
        </w:rPr>
        <w:t xml:space="preserve">obligāti precizējamā sadaļa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Šajā sadaļā ietvertā informācija tiks izmantota kvalitātes kritērija Nr. 1.10. "Stratēģijā ir definēti starpnozaru atbalstāmie virzieni, iespējamie sadarbības partneri, sasniedzamie rezultāti, plānotie pasākumi starpnozaru pētījumu sadarbības veicināšanai" vērtēšanā.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Izstrādāts darbības plāns sadarbībai ar saimnieciskās darbības veicējiem starpnozaru pētījumu īstenošanā (</w:t>
      </w:r>
      <w:r w:rsidR="00000000" w:rsidRPr="00000000" w:rsidDel="00000000">
        <w:rPr>
          <w:i w:val="1"/>
          <w:rtl w:val="0"/>
        </w:rPr>
        <w:t xml:space="preserve">iesaistītajiem saimnieciskās darbības veicējiem saimnieciskās darbības statistiskās klasifikācijas kodi (NACE kodi) atšķiras pirmajā līmenī. No NACE kodu otrā līmeņa vai starplīmeņa starpnozaru sadarbības pētījumu projektus KC projektu atlases padome apstiprina, ja nav iesniegts starpnozaru sadarbības pētījuma pieteikums ar pirmā līmeņa NACE kodu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Stratēģijā ir norādīti iespējamie starpnozaru projektu ietvari: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saimnieciskās darbības veicēji var būt kā sadarbības partneri, nodrošinot efektīvu sadarbību, dodot ieguldījumu pētījuma īstenošanā un dalot riskus, rezultātus un intelektuālo īpašumu;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saimnieciskās darbības veicēji var veikt iepirkuma procedūru pirms  pētniecības pieteikuma iesniegšanas kompetences centram, noslēdzot līgumu starp komersantiem pēc pētījuma pieteikuma iesniegšanas kompetences centram. Iepirkuma gadījumā intelektuālais īpašums var piederēt vienam saimnieciskās darbības veicējam. Saimnieciskās darbības veicēji var nepiemērot iepirkuma procedūru atbilstoši Publiskā iepirkuma likumā minētajiem izņēmuma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starpnozaru sadarbība var būt arī balstīta uz nodomu protokola pamata, kurā pētījuma aktivitātes tiek segtas no pētniecības iesniedzēja puses, kur sadarbības partneris finansējumu nesaņem, bet izskata nākotnes sadarbības iespējas vai bezatlīdzības ceļā piedāvā pētījuma īstenotājam izmantot komersanta īpašumā esošās iekārtas, tehnoloģiju, zināšanas vai speciālistus.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25-TA-2401</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noteikumu_konsolidētā_versija_p2_25-TA-2401.docx</dc:title>
</cp:coreProperties>
</file>

<file path=docProps/custom.xml><?xml version="1.0" encoding="utf-8"?>
<Properties xmlns="http://schemas.openxmlformats.org/officeDocument/2006/custom-properties" xmlns:vt="http://schemas.openxmlformats.org/officeDocument/2006/docPropsVTypes"/>
</file>