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296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26. maijā (prot. Nr. 29 50.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18. aprīļa noteikumos Nr. 198 "Tiešo maksājumu piešķiršanas kārtība lauksaimniekiem"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piecpadsmito un sešpadsmito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18. aprīļa noteikumos Nr. 198 "Tiešo maksājumu piešķiršanas kārtība lauksaimniekiem" (Latvijas Vēstnesis, 2023, 77., 136., 153., 183., 213., 237. nr.; 2024, 72., 213., 248. nr.; 2025, 57., 117. nr.; 2026, 31.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Ja nepārvarama vara vai ārkārtējie apstākļi ir saistīti ar nelabvēlīgiem klimatiskajiem apstākļiem, lauksaimnieks šo noteikumu 4. punktā minēto informāciju var iesniegt, izmantojot Lauku atbalsta dienesta mobilajā lietotnē pieejamo paziņojumu par nelabvēlīgiem klimatiskajiem apstākļiem."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53.3.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"53.3. ilggadīgā zālāja platību hektāros, kura atjaunojama, lai nodrošinātu, ka ilggadīgo zālāju īpatsvara rādītāja attiecība pret ilggadīgo zālāju īpatsvara rādītāju nav mazāka par 10 procentiem."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54.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 Ja ilggadīgo zālāju īpatsvara atsauces rādītāja un kārtējā gada ilggadīgā zālāja platības īpatsvara rādītāja attiecība samazinās par vairāk nekā 10 procentiem, lauksaimnieks, kura rīcībā ir zeme, kas pēdējo piecu gadu laikā no ilggadīgā zālāja ir pārveidota par cita lietojuma zemi, pamatojoties uz Lauku atbalsta dienesta pieprasījumu, daļu no lauksaimniecības zemes platības pārveido par ilggadīgā zālāja platību līdz nākamā gada 15. jūnijam un ģeotelpiskajā iesniegumā, kas iesniedzams par nākamo gadu, deklarē to kā ilggadīgo zālāju."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136.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"136. Nosakot aramzemes platību, uz kuru attiecināma šo noteikumu 133.3. apakšpunktā minētā prasība, tajā neieskaita dārzeņu, kartupeļu un biešu 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180.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"180. Nosakot aramzemes platību, uz kuru attiecināmas šo noteikumu 176.2. apakšpunktā minētās prasības, tajā neiekļauj dārzeņu, kartupeļu un biešu 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202.1.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"202.1. konkrētajā platībā audzē tomātus, sīpolus, šalotes sīpolus, maurlokus, lielloku sīpolus, batūnus, ķiplokus, puravus, galviņkāpostus, ziedkāpostus, citus kāpostus (izņemot lopbarības kāpostus), galda kolrābjus, burkānus, galda kāļus, galda bietes, mangoldu (lapu bietes), selerijas, redīsus, melnos rutkus, pētersīļus, pastinakus, gurķus, kornišonus, dārza ķirbjus (arī kailsēklu (eļļas) ķirbjus), cukīni, kabačus, patisonus, vīģlapu ķirbjus, lielaugļu ķirbjus, muskata ķirbjus, skābenes (izmantojamas pārtikai), rabarberus, spinātus, mārrutkus, parastās dilles, salātus, topinambūrus, papriku, baklažānus vai sparģeļus;".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202.1.</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"202.1.</w:t>
      </w:r>
      <w:r w:rsidR="00000000" w:rsidRPr="00000000" w:rsidDel="00000000">
        <w:rPr>
          <w:vertAlign w:val="superscript"/>
          <w:rtl w:val="0"/>
        </w:rPr>
        <w:t xml:space="preserve">1</w:t>
      </w:r>
      <w:r w:rsidR="00000000" w:rsidRPr="00000000" w:rsidDel="00000000">
        <w:rPr>
          <w:rtl w:val="0"/>
        </w:rPr>
        <w:t xml:space="preserve"> konkrētajā platībā audzētie dārza ķirbji (arī kailsēklu (eļļas) ķirbji), vīģlapu ķirbji, lielaugļu ķirbji un muskata ķirbji ir stādīti, nevis sēti;".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276.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"276. Platību uzraudzības (monitoringa) sistēmā iekļauj šo noteikumu 2.1., 2.2., 2.3., 2.4., 2.5., 2.6.</w:t>
      </w:r>
      <w:r w:rsidR="00000000" w:rsidRPr="00000000" w:rsidDel="00000000">
        <w:rPr>
          <w:vertAlign w:val="superscript"/>
          <w:rtl w:val="0"/>
        </w:rPr>
        <w:t xml:space="preserve">1</w:t>
      </w:r>
      <w:r w:rsidR="00000000" w:rsidRPr="00000000" w:rsidDel="00000000">
        <w:rPr>
          <w:rtl w:val="0"/>
        </w:rPr>
        <w:t xml:space="preserve">, 2.7., 2.9., 2.10., 2.17., 2.18., 2.19., 2.20., 2.21., 2.22., 2.23. un 2.24. apakšpunktā minētās tiešo maksājumu intervences, kā arī šo intervenču atbilstības un atbalsttiesīgas lauksaimniecības zemes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280.1.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"280.1. Lauku atbalsta dienests – par šo noteikumu 2.1., 2.2., 2.3., 2.4., 2.5., 2.6., 2.6.</w:t>
      </w:r>
      <w:r w:rsidR="00000000" w:rsidRPr="00000000" w:rsidDel="00000000">
        <w:rPr>
          <w:vertAlign w:val="superscript"/>
          <w:rtl w:val="0"/>
        </w:rPr>
        <w:t xml:space="preserve">1</w:t>
      </w:r>
      <w:r w:rsidR="00000000" w:rsidRPr="00000000" w:rsidDel="00000000">
        <w:rPr>
          <w:rtl w:val="0"/>
        </w:rPr>
        <w:t xml:space="preserve">, 2.7., 2.9., 2.10., 2.15., 2.16., 2.17., 2.21., 2.22., 2.23. un 2.24. apakšpunktā minētajiem tiešajiem maksājumiem;".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286.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"286. Valsts augu aizsardzības dienests katru gadu sagatavo lauksaimnieku atlases kopu pārbaudēm uz vietas, aptverot vismaz trīs procentus no visiem lauksaimniekiem, kas pieteikušies ekoshēmas atbalstam par ekoloģiski nozīmīgu platību, ekoshēmas atbalstam par saudzējošo lauksaimniecības praksi un ekoshēmas atbalstam par slāpekļa un amonjaka emisiju un piesārņojumu mazinošu lauksaimniecības praksi. Trīs procentu prasība attiecas uz katru intervences pasākumu atsevišķi. Pārbaudes atlasi veido, iekļaujot tajā lauksaimniekus gan pēc nejaušības principa, gan pamatojoties uz riska analīzi."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407.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"407. 2026. gadā ekoshēmas atbalstu par ekoloģiski nozīmīgu platību saskaņā ar šo noteikumu 141.3. apakšpunktu piešķir par zaļmēslojuma augu papuves platību, kas nepārsniedz 20 procentus no saimniecības aramzemes platības."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12.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21.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 aizsardzības ministra pienākumu izpildītāja</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 zemkopības ministra pienākumu izpildītājs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26-TA-487</w:t>
    </w:r>
    <w:r>
      <w:br/>
    </w:r>
    <w:r w:rsidR="00000000" w:rsidRPr="00000000" w:rsidDel="00000000">
      <w:rPr>
        <w:rtl w:val="0"/>
      </w:rPr>
      <w:t xml:space="preserve">Izdrukāts 29.07.2026. 21.18 - 1.0.VK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26-TA-487</w:t>
    </w:r>
    <w:r>
      <w:br/>
    </w:r>
    <w:r w:rsidR="00000000" w:rsidRPr="00000000" w:rsidDel="00000000">
      <w:rPr>
        <w:rtl w:val="0"/>
      </w:rPr>
      <w:t xml:space="preserve">Izdrukāts 29.07.2026. 21.18 - 1.0.VK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noteikumu_(grozījumu)_projekts_26-TA-487.docx</dc:title>
</cp:coreProperties>
</file>

<file path=docProps/custom.xml><?xml version="1.0" encoding="utf-8"?>
<Properties xmlns="http://schemas.openxmlformats.org/officeDocument/2006/custom-properties" xmlns:vt="http://schemas.openxmlformats.org/officeDocument/2006/docPropsVTypes"/>
</file>