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251"/>
        <w:gridCol w:w="4251"/>
        <w:gridCol w:w="4251"/>
        <w:tblGridChange w:id="0">
          <w:tblGrid>
            <w:gridCol w:w="514"/>
            <w:gridCol w:w="4634"/>
            <w:gridCol w:w="4251"/>
            <w:gridCol w:w="4251"/>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Komersanta kredītreitinga novērtējuma</w:t>
            </w:r>
            <w:r>
              <w:tab/>
            </w:r>
            <w:r>
              <w:br/>
            </w:r>
            <w:r w:rsidR="00000000" w:rsidRPr="00000000" w:rsidDel="00000000">
              <w:rPr>
                <w:rtl w:val="0"/>
              </w:rPr>
              <w:t xml:space="preserve">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r>
              <w:tab/>
            </w:r>
            <w:r>
              <w:br/>
            </w:r>
            <w:r w:rsidR="00000000" w:rsidRPr="00000000" w:rsidDel="00000000">
              <w:rPr>
                <w:rtl w:val="0"/>
              </w:rPr>
              <w:t xml:space="preserve">(aizdevumu rezerves bāzes punkti)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Spēcīgs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Labs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Apmierinošs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Vājš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Slikts/finansiālās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Aizdevumu rezerves bāzes punktiem tiek pieskaitīti 100 bāzes punkti. Aizņēmējiem, kuriem nav kredītvēstures vai novērtējuma, kas pamatots ar bilanci (piemēram, īpašam nolūkam dibinātiem komersantiem vai jaundibinātiem komersantiem), riska likmi nosaka vismaz 400 bāzes punktu apmērā (atkarībā no pieejamā nodrošinājuma), un riska likme nevar būt zemāka par to, kuru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22-TA-475</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22-TA-475</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noteikumu_konsolidētā_versija_p_22-TA-475.docx</dc:title>
</cp:coreProperties>
</file>

<file path=docProps/custom.xml><?xml version="1.0" encoding="utf-8"?>
<Properties xmlns="http://schemas.openxmlformats.org/officeDocument/2006/custom-properties" xmlns:vt="http://schemas.openxmlformats.org/officeDocument/2006/docPropsVTypes"/>
</file>