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un Eiropas Savienības atbalsta piešķiršanas kārtība Eiropas Lauksaimniecības fonda lauku attīstībai intervencē "Atbalsts Eiropas Inovāciju partnerības darba grupu projektu īstenošanai" atklātu projektu iesniegumu konkursu veidā 2023.–2027. gada plānošanas periodam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br/>
      </w:r>
      <w:r w:rsidR="00000000" w:rsidRPr="00000000" w:rsidDel="00000000">
        <w:rPr>
          <w:rStyle w:val="paragraph"/>
          <w:i w:val="1"/>
          <w:rtl w:val="0"/>
        </w:rPr>
        <w:t xml:space="preserve">5. panta ceturto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valsts un Eiropas Savienības atbalsta piešķiršanas kārtību Eiropas Lauksaimniecības fonda lauku attīstībai intervencē "Atbalsts Eiropas Inovāciju partnerības darba grupu projektu īstenošanai" (turpmāk – intervence) atklātu projektu iesniegumu konkursu veidā.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partneri – neatkarīgas līgumslēdzējas puses, kas savā starpā noslēgušas sadarbības līgumu par projekta īstenošanu un nodrošina efektīvu sadarbību;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organizācija – Latvijas Republikas zinātnisko institūciju reģistrā reģistrēta zinātniskā institūcija, kas atbilst Komisijas 2022. gada 14. decembra Regulas (ES)  </w:t>
      </w:r>
      <w:r w:rsidR="00000000" w:rsidRPr="00000000" w:rsidDel="00000000">
        <w:rPr>
          <w:rtl w:val="0"/>
        </w:rPr>
        <w:t xml:space="preserve">2022/2472</w:t>
      </w:r>
      <w:r w:rsidR="00000000" w:rsidRPr="00000000" w:rsidDel="00000000">
        <w:rPr>
          <w:rtl w:val="0"/>
        </w:rPr>
        <w:t xml:space="preserve">, ar kuru, piemērojot Līguma par Eiropas Savienības darbību 107. un 108. pantu, dažu kategoriju atbalstu lauksaimniecības un mežsaimniecības nozarē un lauku apvidos atzīst par saderīgu ar iekšējo tirgu (Dokuments attiecas uz EEZ) (Eiropas Savienības Oficiālais Vēstnesis, 2022. gada 21. decembris, Nr. L 327) (turpmāk – regula  </w:t>
      </w:r>
      <w:r w:rsidR="00000000" w:rsidRPr="00000000" w:rsidDel="00000000">
        <w:rPr>
          <w:rtl w:val="0"/>
        </w:rPr>
        <w:t xml:space="preserve">2022/2472</w:t>
      </w:r>
      <w:r w:rsidR="00000000" w:rsidRPr="00000000" w:rsidDel="00000000">
        <w:rPr>
          <w:rtl w:val="0"/>
        </w:rPr>
        <w:t xml:space="preserve">), 2. panta 50. punktā sniegtajai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produktīvās investīcijas – ar projekta mērķi tieši saistīti ieguldījumi materiālajos aktīvos (piemēram, tehnikā, iekārtās un to aprīkojumā), kas pēc projekta īstenošanas var tikt izmantoti saimnieciskajā darbībā un kas tieši nodrošina peļņas gūšanu vai produktu ražošanas procesus;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inovācija – process, kura ieviešanai tiek radīti jauni vai būtiski uzlaboti produkti, aprīkojums, process un metodes vai tiek būtiski uzlabotas to funkcionālās īpašības un paredzamais lietošanas veids (piemēram, mainīti tehniskie parametri, sastāvdaļas un materiāli, pievienotā programmatūra, lietotājam un videi saudzīgās īpašības), kā arī izpētītas inovatīvo produktu vai procesu tehniskās un ekonomiskās īstenošanas iespējas. Inovācija tehnoloģijā ietver būtiskas izmaiņas tehnoloģiskajā procesā, iekārtās un programmatūrā, lai uzlabotu ražošanas procesu vai ražošanas metodes, un tās ieviešana nodrošina jaunu produktu ražošanu vai ražošanas procesa ievērojamu maiņu;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jauns produkts – prece, metode vai pakalpojums, kas ir pilnīgi jauns vai kam ir būtiski uzlabotas funkcionālās īpašības vai mainīts paredzamais lietošanas veids, tostarp mainīti vai uzlaboti tehniskie parametri, sastāvdaļas, materiāli, pievienotā programmatūra vai lietotājam ērtas īpašības. Jaunām iekārtām vai paplašinājumiem jābūt ar būtiskiem specifikācijas uzlabojumiem. Par jaunu produktu neuzskata: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kādas procesa daļas izmantošanas pārtraukšanu;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aizvietošanu vai ekstensīvu palielināšanu – izmantotajiem moduļiem identisku moduļu iegādi, nebūtiskus paplašinājumus, iekārtu un programmatūras atjauninājumus;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komponentu cenu maiņas dēļ radušās izmaiņas. Produkta vai aprīkojuma cenas vai ražošanas procesa vai metodes produktivitātes izmaiņas nav produktu inovācija;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produktu pielāgojumus konkrētām vajadzībām (piemēram, produkta pielāgošanu klienta vajadzībām bez tādām jaunā produkta funkcionālo vai tehnisko īpašību izmaiņām, kas nodrošina lielāku jaunā produkta konkurētspēju salīdzinājumā ar esošiem produktiem);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ierastās vai regulārās izmaiņas, kas skar esošos produktus, aprīkojumu, ražošanas līnijas, ražošanas procesus, ražošanas metodes un citas operācijas darbības procesā;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dizaina, tostarp garšas un smaržas, izmaiņas, kas nemaina funkcijas, lietojumu vai tehniskās īpašības;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citu ražotāju produktu, iekārtu, aprīkojuma procesu vai metožu tālākpārdošanu;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uzlabojumus tirgvedības veicināšanai, tostarp estētiskas izmaiņas;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organizatorisko procesu uzlabošanu komersanta darbībā;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programmatūras jomā:</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esošo sistēmu atbalstu;</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datoru valodu konvertēšanu un translēšanu;</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programmu papildināšanu ar jaunu funkcionalitāti lietotājiem;</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sistēmu atkļūdošanu;</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esošās programmatūras pielāgošanu;</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lietotāja dokumentācijas sagatavošanu;</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10.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datubāzu, sistēmu un mobilo lietotņu izveidošanu konkrētu uzņēmumu vai ierobežotas grupas vajadzībām;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jauna tehnoloģija – jauna un salīdzinājumā ar nozarē sasniegto tehnisko līmeni sevi vēl nepierādījusi tehnoloģija, kas ir saistīta ar tehnoloģiskas vai rūpnieciskas neizdošanās risku un nav esošas tehnoloģijas optimizācija vai uzlabošana;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lauksaimnieks – juridiska vai fiziska persona, kas ražojusi lauksaimniecības produktus un guvusi ieņēmumus no lauksaimniecības produktu pārdošanas pēdējā noslēgtajā 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lauksaimniecības produkts – Līguma par Eiropas Savienības darbību I pielikumā minētie lauksaimniecības produkti (izņemot zvejniecības un akvakultūras produktus);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lauksaimniecības produktu pārstrāde – jebkura darbība ar lauksaimniecības produktu, tostarp karsēšana, kūpināšana, konservēšana, nogatavināšana, žāvēšana, marinēšana, ekstrakcija, ekstrūzija, malšana, saldēšana vai vienlaikus vairāki šie procesi, kas maina sākotnējo produktu. Par lauksaimniecības produktu pārstrādi uzskatāma arī dzīvnieku kaušana un sadalīšana;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mežsaimnieks – meža īpašnieks vai tiesiskais valdītājs;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mežsaimniecība – meža ilgtspējīga izmantošana, īstenojot mērķtiecīgas mežsaimnieciskās darbības jebkurā meža audzēšanas cikla posmā un aptverot koksnes un nekoksnes vērtības. Atbalsts saistībā ar šiem noteikumiem netiek sniegts kokapstrādei;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kooperatīvs – atbilstīga lauksaimniecības pakalpojumu kooperatīvā sabiedrība vai atbilstīga mežsaimniecības pakalpojumu kooperatīvā sabiedrība, kas saņēmusi atbilstības statusu saskaņā ar normatīvajiem aktiem par kooperatīvo sabiedrību atbilstību;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vadošais partneris – Eiropas Inovāciju partnerības darba grupas (turpmāk – darba grupa) partneris, kas ir tiesīgs pārstāvēt sadarbības partnerus, iesniegt projekta iesniegumu Lauku atbalsta dienestā, saņemt atbalstu, kā arī vadīt un koordinēt projekta īstenošanu un nodrošināt priekšapmaksas tālāku novirzīšanu sadarbības partneriem atbilstoši to īstenotajām darbībām;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konsultants – juridiska vai fiziska persona (saimnieciskas darbības veicējs), kas savas saimnieciskās darbības ietvaros sniedz konsultāciju pakalpojumus lauksaimniecības vai mežsaimniecības jomā, kurai ir vismaz trīs gadu darba pieredze konsultāciju sniegšanā un nav komerciālas intereses par lauksaimnieciskajā ražošanā izmantojamās tehnikas vai ķīmisko un bioloģisko materiālu reklamēšanu un izplatīšanu;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Eiropas Inovāciju partnerības tīkla Sekretariāts – sabiedrība ar ierobežotu atbildību "Latvijas Lauku konsultāciju un izglītības centrs", kas saistībā ar valsts Kopējās lauksaimniecības politikas tīkla funkcijām nodrošina tehnisko palīdzību uz inovāciju vērstu projektu izstrādei, potenciālo darba grupu izveidei un potenciālo partneru piesaistei.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Finansējumu intervencei piešķir saskaņā ar Eiropas Parlamenta un Padomes 2021. gada 2. decembra Regulu (ES)  </w:t>
      </w:r>
      <w:r w:rsidR="00000000" w:rsidRPr="00000000" w:rsidDel="00000000">
        <w:rPr>
          <w:rtl w:val="0"/>
        </w:rPr>
        <w:t xml:space="preserve">2021/2115</w:t>
      </w:r>
      <w:r w:rsidR="00000000" w:rsidRPr="00000000" w:rsidDel="00000000">
        <w:rPr>
          <w:rtl w:val="0"/>
        </w:rPr>
        <w:t xml:space="preserve">, ar ko izveido noteikumus par atbalstu stratēģiskajiem plāniem, kuri dalībvalstīm jāizstrādā saskaņā ar kopējo lauksaimniecības politiku (KLP stratēģiskie plāni) un kurus finansē no Eiropas Lauksaimniecības garantiju fonda (ELGF) un no Eiropas Lauksaimniecības fonda lauku attīstībai (ELFLA), un ar ko atceļ Regulas (ES) Nr.  </w:t>
      </w:r>
      <w:r w:rsidR="00000000" w:rsidRPr="00000000" w:rsidDel="00000000">
        <w:rPr>
          <w:rtl w:val="0"/>
        </w:rPr>
        <w:t xml:space="preserve">1305/2013</w:t>
      </w:r>
      <w:r w:rsidR="00000000" w:rsidRPr="00000000" w:rsidDel="00000000">
        <w:rPr>
          <w:rtl w:val="0"/>
        </w:rPr>
        <w:t xml:space="preserve"> un (ES) Nr.  </w:t>
      </w:r>
      <w:r w:rsidR="00000000" w:rsidRPr="00000000" w:rsidDel="00000000">
        <w:rPr>
          <w:rtl w:val="0"/>
        </w:rPr>
        <w:t xml:space="preserve">1307/2013</w:t>
      </w:r>
      <w:r w:rsidR="00000000" w:rsidRPr="00000000" w:rsidDel="00000000">
        <w:rPr>
          <w:rtl w:val="0"/>
        </w:rPr>
        <w:t xml:space="preserve"> (turpmāk – regula  </w:t>
      </w:r>
      <w:r w:rsidR="00000000" w:rsidRPr="00000000" w:rsidDel="00000000">
        <w:rPr>
          <w:rtl w:val="0"/>
        </w:rPr>
        <w:t xml:space="preserve">2021/2115</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Intervences mērķis ir veicināt sadarbību lauksaimniecībā, mežsaimniecībā un lauksaimniecības produktu (izņemot zvejniecības un akvakultūras produktus) pārstrādē, lai risinātu šo nozaru praktiskās vajadzības, izstrādājot jaunus produktus, procesus, jaunas tehnoloģijas un metodes.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Projekta gala rezultātam jābūt praktiski pielietojamam un komerciāli izmantojamam risinājumam, piemēram, testētai metodei vai tehnoloģijai, kas ir gatava ieviešanai uzņēmuma vai nozares praksē, vai tieši vērsta uz ieviešanu, sasniedzot augstāku tehnoloģiju gatavības līmeni. </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Darba grupa projekta laikā kopīgi nodrošina gala rezultāta praktisku pielietojumu saimnieciskajā darbībā vai sniedz apliecinājumu par ieviešanas plānu, kurā skaidri definēti termiņi, atbildīgie sadarbības partneri un paredzētā pielietojuma vieta. </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Partneri efektīvi sadarbojas, lai apmainītos ar zināšanām un tehnoloģijām vai sasniegtu kopīgu mērķi. Sadarbības pamatā ir darba dalīšana, kad puses kopīgi nosaka sadarbības projekta darbības jomu, piedalās tā īstenošanā un sadala projekta riska faktorus un rezultātus. Viena vai vairākas puses var uzņemties projekta pilnas izmaksas, atbrīvojot pārējās puses no projekta finanšu riska. Līgumpētījumi un pētniecības pakalpojumu sniegšana netiek uzskatīti par sadarbības formu.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Atbalstu intervencē nozares līmeņa projektiem prioritāri sniedz ar Lauksaimniecības, zivsaimniecības, pārtikas un meža nozares zināšanu un inovāciju stratēģisko vadības padomi saskaņotās jomās.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28.01.2025. noteikumu Nr. 67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Pieteikšanās atbalstam, projektu iesniegumu un pārskatu vērtēšana, lēmuma pieņemšana, pārskata sniegšana un publiskā finansējuma saņemšana notiek saskaņā ar normatīvajiem aktiem par valsts un Eiropas Savienības atbalsta piešķiršanu, administrēšanu un uzraudzību lauku un zivsaimniecības attīstībai, ciktāl tie nav pretrunā ar šiem noteikumiem.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Maksimālais projekta īstenošanas termiņš ir pieci gadi no dienas, kad pieņemts lēmums par atbalsta piešķiršanu, bet ne ilgāk kā līdz 2029. gada 30. jūnijam. Lēmumu par atbalsta piešķiršanu saskaņā ar šiem noteikumiem var pieņemt līdz 2027. gada 31. decembrim.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Intervencē netiek atbalstīti ieguldījumi natūrā, kā arī atbalstu intervencē nepiešķir: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 uzsāktu projektu īstenošanai;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individuālajiem pētniecības projektiem, ko realizē viens pētījuma īstenotājs;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i w:val="1"/>
          <w:rtl w:val="0"/>
        </w:rPr>
        <w:t xml:space="preserve"> (Svītrots)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fundamentāliem pētījumiem, kas ir eksperimentāls vai teorētisks darbs, kuru veic, lai iegūtu jaunas zināšanas par lietām un parādībām, neparedzot nekādu tiešu komerciālu lietojumu vai izmantošanu;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priekšizpētei, kas ir projekta potenciāla novērtējums un analīze, kuras mērķis ir atvieglot lēmuma pieņemšanas procesu, objektīvi un racionāli apzinot projekta priekšrocības, trūkumus, iespējas un draudus, kā arī noteikt tā īstenošanai vajadzīgos resursus un tā izdošanās izredzes kopumā.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Pēc projekta īstenošanas beigām (noslēguma pārskata iesniegšanas) radīto jauno produktu, praksi, procesu vai jauno tehnoloģiju var izmantot komerciāliem mērķiem. Projektā radītie digitālie risinājumi ir brīvi pieejami lietotājiem, un tos var brīvi izplatīt bez ekskluzivitātes un diskriminēšanas, piemēram, izmantojot mācīšanu, brīvas piekļuves datubāzes, atklātās publikācijas vai atklātā pirmkoda programmatūru.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vadošais partneris vai sadarbības partneri ir īstenojuši, īsteno vai plāno īstenot citus projektus, projekta iesniegumā norāda informāciju par visiem minētajiem projektiem un skaidro dubultā finansējuma riska novēršanu, nodrošinot, ka par vienām un tām pašām izmaksām netiek saņemts finansējums no vairākiem finanšu atbalsta instrumentiem.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i w:val="1"/>
          <w:rtl w:val="0"/>
        </w:rPr>
        <w:t xml:space="preserve"> (Svītrots)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i w:val="1"/>
          <w:rtl w:val="0"/>
        </w:rPr>
        <w:t xml:space="preserve"> (Svītrots)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i w:val="1"/>
          <w:rtl w:val="0"/>
        </w:rPr>
        <w:t xml:space="preserve"> (Svītrots)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Sadarbības partneris iesaistās projekta īstenošanā ar savā valdījumā vai īpašumā esošu mantu, intelektuālo īpašumu, finansējumu vai cilvēkresursiem. Šādi ieguldījumi starp sadarbības partneriem nerada tādas tiesiskās attiecības, no kurām izriet, ka šis darījums atbilst publiska iepirkuma līguma pazīmēm vai ka darījumam jāpiemēro normatīvie akti par iepirkuma procedūru un tās piemērošanas kārtību pasūtītāja finansētiem projektiem, proti, sadarbības partneri savā starpā nenorēķinās par sniegto pakalpojumu un precēm.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Projektam paredzēto piegāžu vai pakalpojumu iepirkumā ievēro normatīvo aktu prasības par iepirkuma procedūras piemērošanu, īstenojot atklātu, pārredzamu, nediskriminējošu un konkurenci nodrošinošu procedūru.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Pirms projektā plānoto darbību uzsākšanas vai līguma noslēgšanas ar piegāžu vai pakalpojuma sniedzēju vadošais partneris iesniedz saskaņošanai Lauku atbalsta dienestā iepirkumu dokumentāciju, tostarp cenu aptauju. Projektā plānotās darbības uzsāk un līgumu ar piegāžu vai pakalpojuma sniedzēju noslēdz pēc saskaņojuma saņemšanas no Lauku atbalsta dienesta. Šo nosacījumu atbalsta pretendentam nepiemēro, ja iepirkuma kopējā summa nepārsniedz 10 000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Vadošais partneris un sadarbības partneri visus ar projekta īstenošanu saistītos darījumus atspoguļo atsevišķā grāmatvedības uzskaites sistēmā vai ievieš atbilstošu grāmatvedības kodu. Vadošais partneris un sadarbības partneri informāciju par darījumiem iespēju robežās reģistrē elektroniski un dara to pieejamu pēc kompetento dienestu pieprasījuma.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Vadošais partneris un sadarbības partneri neatkarīgi no sava juridiskā statusa (publisko vai privāto tiesību subjekts) vai saimnieciskās darbības veida (peļņu gūstoša vai bezpeļņas institūcija) publiskā finansējuma saņemšanai kvalificējami kā saimnieciskās darbības veicēji atbilstoši regulas 2022/2472 2. panta 34. punktā vai 1. pielikumā noteiktajai definīcijai. Atbalstu šajā intervencē nepiešķir valsts tiešās pārvaldes iestādēm.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28.01.2025. noteikumu Nr. 67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Sadarbības partneri sniedz ieguldījumu sadarbības projekta īstenošanā un dalās projekta riskā un rezultātos. Katram sadarbības partnerim projekta īstenošanā ir savas attiecināmās izmaksas.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i w:val="1"/>
          <w:rtl w:val="0"/>
        </w:rPr>
        <w:t xml:space="preserve"> (Svītrots)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Darba grupa uzskatāma par jaunu atbalsta saņēmēju, ja darba grupas sadarbības partneru skaits mainās vairāk nekā par 70 procentiem. Nozares līmeņa un saimniecības līmeņa projektiem darba grupas vērtē atsevišķi.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Saistītās personas intervencē vērtē saskaņā ar normatīvajiem aktiem par valsts un Eiropas Savienības atbalsta piešķiršanu, administrēšanu un uzraudzību lauku un zivsaimniecības attīstībai.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Atbalsta saņemšanas nosacījumi darba grupu projektu īstenošanai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Darba grupu mērķis ir uz inovāciju vērstu projektu īstenošana lauksaimniecības, mežsaimniecības un lauksaimniecības produktu pārstrādes nozarē, atbalstot tādu projektu īstenošanu, kas paredz inovatīvus risinājumus nozarē, kā arī jaunu produktu, metožu, procesu un jaunu tehnoloģiju radīšanu nozarē, aptverot plašu gala labuma guvēju loku, vai saimniecības līmenī.</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Atbalsta pretendents ir potenciālā darba grupa, kurā efektīvi sadarbojas lauksaimnieki, mežsaimnieki, lauksaimniecības produktu pārstrādātāji, lauksaimniecības, mežsaimniecības vai lauksaimniecības produktu pārstrādes nozares nevalstisko organizāciju vai kooperatīvu pārstāvji, konsultanti, pētniecības organizācijas, tostarp studenti, vai citas inovācijā ieinteresētās puses. Dalībnieku izvēle ir pamatota ar projekta darbībām un mērķiem.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Atbalsta pretendents atbilst šādiem atbalsta saņemšanas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veido jaunu sadarbību starp vismaz trim dažādām šo noteikumu 22. punktā minētajām personām, no kurām vismaz viens ir lauksaimnieks vai mežsaimnieks saimniecības līmeņa projektos, bet nozares līmeņa projektos – vismaz trīs ir lauksaimnieki vai mežsaimnieki, un kuras savstarpēji nav saistītas, ievērojot šo noteikumu 20. punkta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 sadarbības partneriem ir noslēgts sadarbības līgums;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darba grupas projekts ir saistīts ar lauksaimniecību, mežsaimniecību vai lauksaimniecības produktu pārstrādi;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23.4.</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Darba grupām atbalstu sniedz šo noteikumu 6. punktā minētajās jomās, kā arī citās jomās Eiropas Inovāciju partnerības mērķu sasniegšanai saskaņā ar regulas 2021/2115 6. panta 1. un 2.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Labuma guvēji no projekta īstenošanas galvenokārt ir primārie ražotāji lauksaimniecības un mežsaimniecības nozarē.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23.2.</w:t>
      </w:r>
      <w:r w:rsidR="00000000" w:rsidRPr="00000000" w:rsidDel="00000000">
        <w:rPr>
          <w:rtl w:val="0"/>
        </w:rPr>
        <w:t xml:space="preserve"> apakšpunktā minētajā sadarbības līgumā: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paredz darba grupas sadarbības partneru funkciju sadali projekta īstenošanā, sadarbības partneru pienākumus un atbildību, kā arī nosaka darba grupas vadošo partneri;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apliecina vadošā partnera tiesības pārstāvēt darba grupu, iesniegt projekta iesniegumu Lauku atbalsta dienestā, saņemt priekšapmaksu, kā arī koordinēt projekta īstenošanu un nodrošināt priekšapmaksas tālāku novirzīšanu sadarbības partneriem atkarībā no to īstenotajām darbībām. Vadošais partneris ir atbildīgs par projektā plānoto rezultātu sasniegšanu;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norāda plānoto kopējo finansējumu, katra sadarbības partnera projekta daļas finansējumu un katra sadarbības partnera ieguldījumu sadalījumā pa ieguldījumu veidiem (finansiālais, materiālais vai cilvēkresursu ieguldījums), kā arī paredz norēķinu kārtību starp sadarbības partneriem un saistības, kas izriet no projekta īstenošanas;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pievieno iekšējā lēmuma pieņemšanas kārtību, kas nodrošina lēmumu pieņemšanas caurskatāmību un novērš interešu konfliktu;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ietver projekta rezultātu izmantošanas, ieviešanas, kā arī publicitātes nosacījumus, tostarp zināšanu izplatīšanas, eksperimentālo objektu izmantošanas un ieviešanas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paredz līguma laušanas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ietver nosacījumus un kārtību, kādā sadarbības partneris tiek aizvietots ar citu līdzvērtīgu partneri vai izstājas no darba grupas.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Lai pieteiktos atbalsta saņemšanai, atbalsta pretendents saskaņā ar normatīvajiem aktiem par valsts un Eiropas Savienības atbalsta piešķiršanu, administrēšanu un uzraudzību lauku un zivsaimniecības attīstībai Lauku atbalsta dienesta elektroniskajā pieteikšanās sistēmā iesniedz šādus dokumentus: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iesniegumu, kas ietver vismaz informāciju par:</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 grupu: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partneru sastāvu un iesaistes veidu;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partneru ieguldījumu projektā;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partneru saistību ar citiem projektiem;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partneru līdzšinējo pieredzi projektu izstrādē un ieviešanā;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mērķi;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izvērstu, pamatotu informāciju ar atsaucēm par tēmas aktualitāti un praktiskiem ieguvumiem nozarē vai saimniecībā;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aprakstu, ietverot potenciālo labuma guvēju loku un projekta rezultātu izmantotājus;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īstenošanas laika grafiku;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projektā plānotās darbības un sasniedzamos rezultātus sadalījumā pa posmiem;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norāda projekta sākuma tehnoloģiskās gatavības līmeni (TRL) un pamato plānoto attīstības progresu, kā arī paredzētās darbības, kas nodrošinās TRL paaugstināšanu projekta laikā;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rezultātu ieviešanu praksē, norādot konkrētu uzņēmumu, saimniecību vai nozares segmentus, kur rezultāts tiks ieviests, kā arī sagaidāmo ietekmi;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projekta finansējumu;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projekta attiecināmās izmaksas;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projekta neattiecināmās izmaksas;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tehnikas, iekārtas vai aprīkojuma izmantošanu saimnieciskajā darbībā;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projekta informācijas un publicitātes pasākumus;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tirgus izpēti un analīzi, ietverot ekonomiskās lietderības novērtējumu un nozares vajadzību pamatojumu;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sasniedzamo rezultātu ietekmējošos riska faktorus, kā arī sniedz vērtējumu par to ietekmi un iestāšanās varbūtību;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katra sadarbības partnera, kā arī pētījuma īstenošanā vai projekta īstenošanā iesaistītā personāla prasmju un kvalifikācijas aprakstu, pētniecības organizācijai norādot arī tā pieredzi ar projekta tēmu saistītu jautājumu risināšanā;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23.2.</w:t>
      </w:r>
      <w:r w:rsidR="00000000" w:rsidRPr="00000000" w:rsidDel="00000000">
        <w:rPr>
          <w:rtl w:val="0"/>
        </w:rPr>
        <w:t xml:space="preserve"> apakšpunktā minētā sadarbības līguma kopiju;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katra sadarbības partnera parakstītu atbalsta pretendenta deklarāciju saskaņā ar normatīvajiem aktiem par valsts un Eiropas Savienības atbalsta piešķiršanu, administrēšanu un uzraudzību lauku un zivsaimniecības attīstībai;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sadarbības partneru nodrošināto līdzfinansējuma daļu pamatojošos dokumentus;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apliecinājumu par pētniecības organizācijas norīkošanu dalībai sadarbības projekta īstenošanā – ja sadarbības partneris ir no zinātniskās institūcijas;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organizācijas apliecinājumu par pārstāvja norīkošanu dalībai sadarbības projekta īstenošanā – ja sadarbības partneris ir no nevalstiskās organizācijas.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Vienā projektu iesniegumu pieņemšanas kārtā sadarbības partneris var iesaistīties ne vairāk kā divu darba grupu projektos, bet pētniecības organizācija vai konsultants – ne vairāk kā 10 darba grupu projektos. Šis nosacījums neattiecas uz saimniecības līmeņa projektiem.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28.01.2025. noteikumu Nr. 67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Lauku atbalsta dienests projektu iesniegumus sarindo dilstošā secībā atbilstoši punktu skaitam projektu atlases kritērijos, kas apstiprināti Kopējās lauksaimniecības politikas stratēģiskā plāna 2023.–2027. gadam uzraudzības komitejā, saskaņā ar normatīvajiem aktiem par valsts un Eiropas Savienības atbalsta piešķiršanu, administrēšanu un uzraudzību lauku un zivsaimniecības attīstībai.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28.01.2025. noteikumu Nr. 67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Lauku atbalsta dienests vērtē plānoto ieguldījumu atbilstību sasniedzamajiem mērķiem, kā arī sasniedzamo mērķu samērīgumu ar kopējo attiecināmo izmaksu apmēru.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Lauku atbalsta dienests darba grupas projektus nozares līmenī un saimniecības līmenī atbilstoši šo noteikumu </w:t>
      </w:r>
      <w:r w:rsidR="00000000" w:rsidRPr="00000000" w:rsidDel="00000000">
        <w:rPr>
          <w:rtl w:val="0"/>
        </w:rPr>
        <w:t xml:space="preserve">29.</w:t>
      </w:r>
      <w:r w:rsidR="00000000" w:rsidRPr="00000000" w:rsidDel="00000000">
        <w:rPr>
          <w:rtl w:val="0"/>
        </w:rPr>
        <w:t xml:space="preserve"> punktam sarindo atsevišķi. Saskaņā ar šo noteikumu </w:t>
      </w:r>
      <w:r w:rsidR="00000000" w:rsidRPr="00000000" w:rsidDel="00000000">
        <w:rPr>
          <w:rtl w:val="0"/>
        </w:rPr>
        <w:t xml:space="preserve">7.</w:t>
      </w:r>
      <w:r w:rsidR="00000000" w:rsidRPr="00000000" w:rsidDel="00000000">
        <w:rPr>
          <w:rtl w:val="0"/>
        </w:rPr>
        <w:t xml:space="preserve"> punktu projektu iesniegumu pieņemšanas kārtām tiek izsludināts atsevišķs publiskais finansējums nozares līmeņa un saimniecības līmeņa projektiem.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Lauku atbalsta dienests tiem darba grupas projektiem nozares līmenī, kuru īstenošanai attiecīgajā kārtā publiskais finansējums ir pietiekams, nodrošina vismaz divu individuālu un neatkarīgu ekspertu piesaisti. Projekta novērtēšanā var piesaistīt Eiropas Komisijas ekspertu datubāzē iekļautu ekspertu ar atbilstošu izglītību, profesionālo pieredzi un kompetenci.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28.01.2025. noteikumu Nr. 67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Projekts ir noraidāms, ja Lauku atbalsta dienests, izvērtējot projekta iesniegumu atbilstoši šo noteikumu 30. punktam, konstatē, ka plānotais ieguldījums neatbilst sasniedzamajiem mērķiem vai sasniedzamie mērķi nav samērīgi ar kopējo attiecināmo izmaksu apmēru, kā arī gadījumā, ja ekspertu vērtējums projekta kvalitātei ir zemāks par noteikto minimālo punktu skaitu.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Lauku atbalsta dienests piecu mēnešu laikā pēc projekta iesniegšanas termiņa beigām pieņem lēmumu par projekta iesnieguma apstiprināšanu vai noraidīšanu darba grupas projektiem nozares līmenī, savukārt par darba grupas projektiem saimniecības līmenī lēmumu pieņem trīs mēnešu laikā.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 kāds no sadarbības partneriem pārtrauc savu darbību darba grupā, to aizvieto ar citu līdzvērtīgu partneri, kas pārņem aizstājamā sadarbības partnera saistības un pienākumus. Produktīvo investīciju īpašnieks, kas jau ir iegādājies produktīvās investīcijas un vēlas izstāties no darba grupas, atmaksā izmaksāto finansējumu par produktīvajām investīcijām, ja neviens no partneriem nepārņem attiecīgās saistības. Partneru skaits darba grupā nav samazināms.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sadarbības projekta ieviešanas termiņš ir ilgāks par sešiem mēnešiem, to sadala posmos. Katram posmam nosaka veicamos darbus un sasniedzamos rezultātus.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projekta īstenošanas laikā atbalsta saņēmējs izdara izmaiņas darba grupas sastāvā vai projektā, nemainot tā īstenošanas mērķi, tas jebkuras izmaiņas iepriekš saskaņo ar Lauku atbalsta dienestu.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Darba grupa viena mēneša laikā pēc projekta apstiprināšanas iesniedz Lauku atbalsta dienestā projekta kopsavilkumu un rezultātu aprakstu, tostarp angļu valodā, un Zemkopības ministrija to nosūta Eiropas Komisijai saskaņā ar Komisijas 2022. gada 6. septembra Īstenošanas regulas (ES) 2022/1475, ar ko nosaka sīki izstrādātus noteikumus par to, kā Eiropas Parlamenta un Padomes Regulu (ES) 2021/2115 īsteno attiecībā uz KLP stratēģisko plānu izvērtēšanu un uzraudzībai un izvērtēšanai vajadzīgās informācijas sniegšanu, 13. pantu.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Projekta īstenošanas laikā darba grupa, izmantojot Eiropas Inovāciju partnerības tīkla Sekretariātu, reizi gadā publisko informāciju par projekta īstenošanas gaitu, iekļaujot šo noteikumu 38. punktā minēto projekta rezultātu aprakstu un projektā plānoto darbību kopsavilkumu, kā arī projekta audiovizuālo materiālu.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Sadarbības projektu pēc tā īstenošanas, ietverot arī projekta laikā notikušā pētījuma materiālus, publicē Eiropas Inovāciju partnerības tīkla Sekretariāta tīmekļvietnē. Darba grupa projekta rezultātus apraksta un izplata bez ekskluzivitātes un diskriminēšanas, tostarp izmantojot mācīšanu, brīvas piekļuves datubāzes, atklātas publikācijas vai atklātā pirmkoda programmatūru. Projekta rezultātu aprakstā iekļauj šo noteikumu </w:t>
      </w:r>
      <w:r w:rsidR="00000000" w:rsidRPr="00000000" w:rsidDel="00000000">
        <w:rPr>
          <w:rtl w:val="0"/>
        </w:rPr>
        <w:t xml:space="preserve">38.</w:t>
      </w:r>
      <w:r w:rsidR="00000000" w:rsidRPr="00000000" w:rsidDel="00000000">
        <w:rPr>
          <w:rtl w:val="0"/>
        </w:rPr>
        <w:t xml:space="preserve"> punktā prasīto informāciju.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Lai veicinātu projekta rezultātu izmantošanu praksē, pēc projekta īstenošanas vadošais partneris nodrošina, ka informācija par projekta rezultātiem ir publiska un brīvi pieejama, prezentējot projektu viena mēneša laikā pēc projekta pabeigšanas. Vadošais partneris informācijas publiskošanas pasākumu izziņo publiski, kā arī paziņo Lauku atbalsta dienestam un Eiropas Inovāciju partnerības tīkla Sekretariātam vismaz 10 darbdienas pirms pasākuma, bet pēc tā pasākuma pamatojuma materiālus iesniedz Lauku atbalsta dienestā un Eiropas Inovāciju partnerības tīkla Sekretariātā.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Vadošais partneris nodrošina, ka projektam ir noteikta kontaktpersona projekta īstenošanas un uzraudzības periodā, kā arī visā 2023.–2027. gada plānošanas periodā, un, kura atbild par komunikāciju ar Lauku atbalsta dienestu un Eiropas Inovāciju partnerības tīkla Sekretariātu, kā arī par informācijas sniegšanu par projekta īstenošanas un rezultātu publiskošanu.</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atbalsta saņēmējs pēc projekta īstenošanas nav sasniedzis sākotnēji izvirzīto projekta mērķi vai to ir sasniedzis daļēji, tas Lauku atbalsta dienestā iesniedz izvērstu skaidrojumu par mērķa nesasniegšanas iemesliem.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Publiskā finansējuma veids un apmērs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Darba grupas projekta īstenošanai nozares līmenī vienam projektam kopējā attiecināmo izmaksu summa nepārsniedz 300 000 </w:t>
      </w:r>
      <w:r w:rsidR="00000000" w:rsidRPr="00000000" w:rsidDel="00000000">
        <w:rPr>
          <w:i w:val="1"/>
          <w:rtl w:val="0"/>
        </w:rPr>
        <w:t xml:space="preserve">euro</w:t>
      </w:r>
      <w:r w:rsidR="00000000" w:rsidRPr="00000000" w:rsidDel="00000000">
        <w:rPr>
          <w:rtl w:val="0"/>
        </w:rPr>
        <w:t xml:space="preserve">, piemērojot atbalsta intensitāti līdz 90 procentiem no attiecināmajām izmaksām.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Darba grupas projekta īstenošanai saimniecību līmenī vienam projektam kopējā attiecināmo izmaksu summa nepārsniedz 100 000 </w:t>
      </w:r>
      <w:r w:rsidR="00000000" w:rsidRPr="00000000" w:rsidDel="00000000">
        <w:rPr>
          <w:i w:val="1"/>
          <w:rtl w:val="0"/>
        </w:rPr>
        <w:t xml:space="preserve">euro</w:t>
      </w:r>
      <w:r w:rsidR="00000000" w:rsidRPr="00000000" w:rsidDel="00000000">
        <w:rPr>
          <w:rtl w:val="0"/>
        </w:rPr>
        <w:t xml:space="preserve">, piemērojot atbalsta intensitāti līdz 70 procentiem no attiecināmajām izmaksām.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atbalsta saņēmējs, īstenojot projektu, iegādājas vai iegulda kapitālu produktīvās investīcijās, tiek piemērota atbalsta intensitāte 40 procentu apmērā. Pētniecības organizācijām, iegādājoties materiāltehnisko bāzi, piemēram, iekārtas, instrumentus, aprīkojumu vai laboratorijas tehniku, tiek piemērota 90 procentu atbalsta intensitāte.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Publiskais finansējums netiek piešķirts par darbībām, kuras atbalsta pretendents ir sācis īstenot pirms projekta iesnieguma iesniegšanas Lauku atbalsta dienestā.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Lauku atbalsta dienests par projektā īstenotajām darbībām pārskaita atbalstu sadarbības partneriem atbilstoši to īstenotajām darbībām un atbalsta intensitātei.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Lai saņemtu priekšapmaksu, darba grupas vadošais partneris iesniedz Lauku atbalsta dienesta elektroniskās pieteikšanās sistēmā priekšapmaksas pieprasījumu, norādot pieprasītās priekšapmaksas apmēru un sadalījumu starp partneriem. Priekšapmaksu var pieprasīt vienu reizi projekta īstenošanas laikā līdz pirmā maksājuma pieprasījuma iesniegšanai. Priekšapmaksa nepārsniedz 10 procentus no attiecināmo izmaksu summas.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28.01.2025. noteikumu Nr. 67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Atbalsta saņēmējs starpposma maksājumu par projekta daļas īstenošanu var saņemt ne biežāk kā vienu reizi ceturksnī. Lai saņemtu starpposma maksājumu, vadošais partneris iesniedz Lauku atbalsta dienestā maksājuma pieprasījumu kopā ar izdevumus apliecinošiem dokumentiem un pārskatu par projekta posmā īstenotajām darbībām.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Atbalsta saņēmējs vienu reizi kalendāra gadā, sākot ar nākamo gadu pēc projekta apstiprināšanas, Lauku atbalsta dienestā iesniedz pārskatu par projektā īstenotajām darbībām. Pārskats nav jāiesniedz, ja atbalsta saņēmējs saņem šo noteikumu 49. punktā minēto starpposma maksājumu.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Pēdējo maksājumu, kas ir vismaz 10 procenti no attiecināmo izmaksu summas, atbalsta saņēmējs saņem pēc projekta iesniegumā paredzēto ieguldījumu pilnīgas īstenošanas un projekta rezultātu publiskošanas saskaņā ar šo noteikumu 40. punktu, kā arī pēc maksājuma pieprasījuma iesniegšanas Lauku atbalsta dienestā. Pēdējo maksājuma pieprasījumu iesniedz kopā ar gala pārskatu par projekta īstenošanas rezultātiem vai ieviešanas plānu, kurā skaidri definēti īstenošanas termiņi, atbildīgie sadarbības partneri un paredzētā projekta rezultātu pielietojuma vieta.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Atbalstam intervencē piemēro regulas  </w:t>
      </w:r>
      <w:r w:rsidR="00000000" w:rsidRPr="00000000" w:rsidDel="00000000">
        <w:rPr>
          <w:rtl w:val="0"/>
        </w:rPr>
        <w:t xml:space="preserve">2022/2472</w:t>
      </w:r>
      <w:r w:rsidR="00000000" w:rsidRPr="00000000" w:rsidDel="00000000">
        <w:rPr>
          <w:rtl w:val="0"/>
        </w:rPr>
        <w:t xml:space="preserve"> 40. panta nosacījumus, ievērojot šādas prasības: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atbalstu uzskata par piešķirtu ar dienu, kad Lauku atbalsta dienests ir pieņēmis lēmumu par projekta iesnieguma apstiprināšanu;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atbalstu drīkst apvienot ar citā atbalsta programmā piešķirto finansējumu, ievērojot regulas 2022/2472 8. panta 3., 4., 5. un 7. punkta prasības;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saņēmējs informāciju par izmaksāto atbalstu glabā 10 gadus no atbalsta saņemšanas dienas, bet Lauku atbalsta dienests – 10 gadus no dienas, kad piešķirts pēdējais atbalsts saskaņā ar šiem noteikumiem, atbilstoši regulas  </w:t>
      </w:r>
      <w:r w:rsidR="00000000" w:rsidRPr="00000000" w:rsidDel="00000000">
        <w:rPr>
          <w:rtl w:val="0"/>
        </w:rPr>
        <w:t xml:space="preserve">2022/2472</w:t>
      </w:r>
      <w:r w:rsidR="00000000" w:rsidRPr="00000000" w:rsidDel="00000000">
        <w:rPr>
          <w:rtl w:val="0"/>
        </w:rPr>
        <w:t xml:space="preserve"> 13. panta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atbalstu piešķir līdz regulas 2022/2472 64. pantā noteiktā piemērošanas termiņa beigām;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tiek konstatēts, ka ir pārkāptas regulas 2022/2472 prasības, Lauku atbalsta dienests uzliek par pienākumu atbalsta saņēmējam atmaksāt Lauku atbalsta dienestam nelikumīgi saņemto valsts atbalstu. To atmaksā kopā ar procentiem no līdzekļiem, kas ir brīvi no valsts atbalsta, saskaņā ar Komercdarbības atbalsta kontroles likuma IV vai V nodaļu.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28.01.2025. noteikumu Nr. 67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Intervences attiecināmās un neattiecināmās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Intervencē ir šādas attiecināmās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tiešās izmaksas: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koordinācijas izmaksas un atlīdzība par darbu Darba likuma 59. panta izpratnē projekta mērķu sasniegšanai, kā arī nodokļi, kas saistīti ar darba samaksu;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fiziskai personai, kas veic saimniecisko darbību, – samaksa par ieguldīto darbu projekta mērķu sasniegšanā, ja no tās ir samaksāti ar ienākuma gūšanu saistītie nodokļi (iedzīvotāju ienākuma nodoklis un pašnodarbinātās personas valsts sociālās apdrošināšanas iemaksas);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publicitātes un informācijas izplatīšanas izmaksas, kas ietver semināru, konferenču un to organizēšanas, kā arī rakstu publicēšanas izmaksas. Ja par publicitātes pasākumu nodrošināšanu tiek ņemti pakalpojumi (slēgti līgumi par pakalpojumu sniegšanu), to izmaksas uzskatāmas par trešo personu sniegto ārējo pakalpojumu izmaksām, ko sedz saskaņā ar šo noteikumu 53.1.8. apakšpunkta nosacījumiem;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kafijas pauzes izmaksas, bet ne vairāk kā septiņi </w:t>
      </w:r>
      <w:r w:rsidR="00000000" w:rsidRPr="00000000" w:rsidDel="00000000">
        <w:rPr>
          <w:i w:val="1"/>
          <w:rtl w:val="0"/>
        </w:rPr>
        <w:t xml:space="preserve">euro</w:t>
      </w:r>
      <w:r w:rsidR="00000000" w:rsidRPr="00000000" w:rsidDel="00000000">
        <w:rPr>
          <w:rtl w:val="0"/>
        </w:rPr>
        <w:t xml:space="preserve"> par katru kafijas pauzi vienam attiecīgā pasākuma dalībniekam (ja plānotie izdevumi pārsniedz noteikto limitu, tos elektroniski saskaņo ar Lauku atbalsta dienestu pirms maksājuma veikšanas). Ja pasākums ir ilgāks par sešām stundām, rīko ne vairāk kā divas kafijas pauzes;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sadarbības partneru darba braucienu un komandējumu izmaksas atbilstoši normatīvajiem aktiem par kārtību, kādā atlīdzināmi ar komandējumiem un darbinieku darba braucieniem saistītie izdevumi, kā arī pilsētas nodokļi attiecīgajā valstī, ja atbalsta pretendents dodas komandējumā. Iekšzemes komandējumu izmaksas attiecināmas atbilstoši Finanšu ministrijas izstrādātajām metodikām "Vienas vienības izmaksu standarta likmes aprēķina un piemērošanas metodika 1 km izmaksām darbības programmas "Izaugsme un nodarbinātība" un Eiropas Savienības kohēzijas politikas programmas 2021.–2027. gadam īstenošanai" un "Vienas vienības izmaksu standarta likmes aprēķina un piemērošanas metodika iekšzemes komandējumu izmaksām darbības programmas "Izaugsme un nodarbinātība" īstenošanai";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tehnikas, iekārtu un to aprīkojuma nomas maksa projekta īstenošanas laikā, nepārsniedzot projekta īstenošanas termiņu, ciktāl tos izmanto projekta mērķu sasniegšanai. Iznomāšanas pamatā ir līgums, ar kuru iznomātājs noteiktā laikposmā nodod nomniekam tiesības lietot aktīvu, nepārsniedzot projekta īstenošanas termiņu un nenododot visus aktīva īpašuma tiesībām raksturīgos riska faktorus un atlīdzību. Kopējā nomas maksa projekta īstenošanas laikā nepārsniedz 30 procentus no tehnikas, iekārtu vai to aprīkojuma tirgus vērtības, un tās apjoms ir atkarīgs no nomas perioda projektā. Intervencē nav pieļaujams nomas līgums starp viena projekta sadarbības partneriem;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materiālu, tai skaitā projekta īstenošanai nepieciešamā inventāra, instrumentu un materiālu, piemēram, komponentu, ķimikāliju, laboratorijas trauku, iegādes izmaksas, kas ir tieši saistītas ar projekta īstenošanu;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trešo personu sniegto ārējo pakalpojumu izmaksas, kas nepārsniedz 25 procentus no attiecināmo izmaksu kopsummas, ja attiecīgie pakalpojumi tiek izmantoti tikai projekta mērķu sasniegšanai. Tādu ārējo pakalpojumu izmaksas, kas saistītas ar informācijas tehnoloģijas pakalpojumiem, nepārsniedz 50 procentus no attiecināmo izmaksu kopsummas;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tehnikas, iekārtu un to aprīkojuma iegādes izmaksas, nepārsniedzot 30 procentus no attiecināmo izmaksu kopsummas, ja tos izmanto tikai projekta mērķu sasniegšanai;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netiešās attiecināmās izmaksas, kuras nav tieši saistītas ar projekta rezultātu sasniegšanu, bet nodrošina atbilstošus apstākļus atbalstāmo darbību īstenošanai un rezultātu sasniegšanai un kuras grāmatvedības sistēmā var noteikt un pamatot kā tādas, kas radušās tiešā saistībā ar projekta tiešajām attiecināmajām izmaksām, tai skaitā izmaksas, kas saistītas ar telpu nomu, komunālajiem pakalpojumiem, kancelejas preču, aprīkojuma un programmatūras iegādi, amortizācijas un nemateriālo aktīvu izmaksas un citas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53.2.</w:t>
      </w:r>
      <w:r w:rsidR="00000000" w:rsidRPr="00000000" w:rsidDel="00000000">
        <w:rPr>
          <w:rtl w:val="0"/>
        </w:rPr>
        <w:t xml:space="preserve"> apakšpunktā minētās netiešās attiecināmās izmaksas ir 25 procenti no projekta kopējām tiešajām attiecināmajām izmaksām, izņemot tiešās attiecināmās izmaksas, kas radušās saistībā ar apakšuzņēmuma līgumu slēgšanu un finansiālo atbalstu trešajām personām, ievērojot Eiropas Parlamenta un Padomes 2021. gada 28. aprīļa Regulas 2021/695, ar ko izveido pētniecības un inovācijas pamatprogrammu "Apvārsnis Eiropa", nosaka tās dalības un rezultātu izplatīšanas noteikumus un atceļ Regulas (ES) Nr. 1290/2013 un (ES) Nr. 1291/2013, 35. pantu.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Izmaksas, kas ietvertas netiešajās izmaksās, neattiecina ne uz tiešajām, ne uz neattiecināmajām izmaksām.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Projektā nodarbinātā personāla atalgojuma likmes nosaka, pamatojoties uz Zemkopības ministrijas apstiprināto metodiku "Vienas vienības izmaksas – stundas likmes atalgojums sadarbības partneriem" un tās piemērošanas kārtību Kopējās lauksaimniecības politikas stratēģiskā plānā 2023.–2027. gadam intervencei "Atbalsts Eiropas Inovāciju partnerības darba grupu projektu īstenošanai".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53.1.9.</w:t>
      </w:r>
      <w:r w:rsidR="00000000" w:rsidRPr="00000000" w:rsidDel="00000000">
        <w:rPr>
          <w:rtl w:val="0"/>
        </w:rPr>
        <w:t xml:space="preserve"> apakšpunktā minētās izmaksas ir attiecināmas tikai tad, ja tās ir tieši saistītas ar projekta īstenošanu un ja neviens no sadarbības partneriem nespēj nodrošināt attiecīgo tehniku, iekārtu un to aprīkojumu vai to nav iespējams iznomāt.</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Intervencē ir šādas neattiecināmās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esošo būvju uzturēšanas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traktortehnikas iegādes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procentu maksājumi, maksa par naudas pārskaitījumiem, valūtas maiņas komisijas maksājumi un valūtas kursa svārstību dēļ radušies zaudējumi;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naudas sodi, līgumsodi, nokavējuma procenti un tiesas prāvu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tādu apakšlīgumu slēgšana, kuri mākslīgi un nepamatoti palielina projekta izmaksas un kuros samaksa ir noteikta procentos no kopējām projekta izmaksām;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izmaksas, kas saistītas ar jebkuru piegādi, pakalpojumu vai darbu, par kuru nav īstenota atbilstoša iepirkuma procedūra saskaņā ar normatīvajiem aktiem par iepirkuma procedūras piemērošanu;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tehniskās apkopes, rezerves daļu un ekspluatācijas izdevumi;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nodokļi un nodevas, izņemot pievienotās vērtības nodokli tiem pretendentiem, kas to neatgūst no valsts budžeta;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izmaksas, kas saistītas ar tādu iekārtu, iekārtu daļu vai programmatūru aizstāšanu ar jaunām iekārtām, iekārtu daļām vai programmatūrām, kuru parametri salīdzinājumā ar esošajām neatšķiras un kuras nenodrošina izmaiņas produktā vai tehnoloģiskajā procesā ar racionalizāciju, modernizāciju vai diversifikāciju;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izmaksas, kas saistītas ar ikdienas saimnieciskās darbības nodrošināšanu.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Intervencē finansē tikai tādas attiecināmās izmaksas, kas ir tieši saistītas ar projektā īstenotajām darbībām, ir izmērāmas, samērīgas, pamatotas un atbilst pareizas finanšu vadības principiem.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Projekta uzraudzība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Ja projektu īstenošanai tiek iegādātas produktīvās investīcijas vai šo noteikumu </w:t>
      </w:r>
      <w:r w:rsidR="00000000" w:rsidRPr="00000000" w:rsidDel="00000000">
        <w:rPr>
          <w:rtl w:val="0"/>
        </w:rPr>
        <w:t xml:space="preserve">53.1.9.</w:t>
      </w:r>
      <w:r w:rsidR="00000000" w:rsidRPr="00000000" w:rsidDel="00000000">
        <w:rPr>
          <w:rtl w:val="0"/>
        </w:rPr>
        <w:t xml:space="preserve"> apakšpunktā minētā tehnika, iekārtas vai aprīkojums, tiem tiek piemērots piecu gadu uzraudzības periods.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Atbalsta saņēmējs nodrošina projekta rezultātu pieejamību sabiedrībai un interesentiem un izmantojamību praksē. Lauku atbalsta dienests var pārraudzīt projekta rezultātu izmantošanu.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projekts ietver informācijas tehnoloģiju risinājumu, atbalsta saņēmējs uzraudzības periodā nodrošina šī risinājuma pieejamību un izmantojamību atbilstoši projekta mērķim. Lauku atbalsta dienests divus gadus pēc projekta īstenošanas pabeigšanas veic ar projektu saistīto datubāžu un iesniegtās informācijas uzraudzību.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Sadarbības partneri vienojas par produktīvo investīciju vai šo noteikumu </w:t>
      </w:r>
      <w:r w:rsidR="00000000" w:rsidRPr="00000000" w:rsidDel="00000000">
        <w:rPr>
          <w:rtl w:val="0"/>
        </w:rPr>
        <w:t xml:space="preserve">53.1.9.</w:t>
      </w:r>
      <w:r w:rsidR="00000000" w:rsidRPr="00000000" w:rsidDel="00000000">
        <w:rPr>
          <w:rtl w:val="0"/>
        </w:rPr>
        <w:t xml:space="preserve"> apakšpunktā minētās tehnikas, iekārtas vai aprīkojuma īpašnieku un to norāda sadarbības līgumā.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Produktīvās investīcijas vai šo noteikumu </w:t>
      </w:r>
      <w:r w:rsidR="00000000" w:rsidRPr="00000000" w:rsidDel="00000000">
        <w:rPr>
          <w:rtl w:val="0"/>
        </w:rPr>
        <w:t xml:space="preserve">53.1.9.</w:t>
      </w:r>
      <w:r w:rsidR="00000000" w:rsidRPr="00000000" w:rsidDel="00000000">
        <w:rPr>
          <w:rtl w:val="0"/>
        </w:rPr>
        <w:t xml:space="preserve"> apakšpunktā minētā tehnika, iekārta vai aprīkojums ir atbalsta saņēmēja īpašumā visu projekta uzraudzības laiku.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Ja atbalsta saņēmējs projekta īstenošanas periodā vai piecu gadu laikā pēc projekta īstenošanas termiņa beigām pēc pēdējā maksājuma saņemšanas savā saimnieciskajā darbībā izmanto šo noteikumu 53.1.9. apakšpunktā minētās iekārtas ieņēmumu gūšanai, Lauku atbalsta dienests pieprasa atmaksāt pārmaksāto atbalstu par ieguldītajām investīcijām (iekārtām)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Starpvalstu sadarbība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28.01.2025. noteikumu Nr. 67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Starpvalstu sadarbības mērķis ir veicināt kvalitatīvu pieredzes apmaiņu inovatīvu starpvalstu sadarbības projektu īstenošanā nozares līmenī.</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Projekts uzskatāms par starpvalstu sadarbības projektu, ja tajā piedalās vismaz divu dalībvalstu darba grupas, kas kopīgi īsteno projekta mērķus un aktivitātes, nodrošinot savstarpēji papildinošu ieguldījumu projekta rezultātu sasniegšanā.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Starpvalstu sadarbības projekti tiek vērtēti kā nacionālās nozīmes projekti, un uz tiem attiecas visi šo noteikumu nosacījumi, kas piemērojami nacionālās nozīmes projektiem.</w:t>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Starpvalstu sadarbības projektā atbalsta pretendents ir darba grupa, kas piedalās starpvalstu sadarbības projektā un atbilst šo noteikumu </w:t>
      </w:r>
      <w:r w:rsidR="00000000" w:rsidRPr="00000000" w:rsidDel="00000000">
        <w:rPr>
          <w:rtl w:val="0"/>
        </w:rPr>
        <w:t xml:space="preserve">23.</w:t>
      </w:r>
      <w:r w:rsidR="00000000" w:rsidRPr="00000000" w:rsidDel="00000000">
        <w:rPr>
          <w:rtl w:val="0"/>
        </w:rPr>
        <w:t xml:space="preserve"> punktā</w:t>
      </w:r>
      <w:r w:rsidR="00000000" w:rsidRPr="00000000" w:rsidDel="00000000">
        <w:rPr>
          <w:rtl w:val="0"/>
        </w:rPr>
        <w:t xml:space="preserve"> minētajām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28.01.2025. noteikumu Nr. 67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Darba grupa var pieteikties uz atbalstu, lai finansētu piedalīšanos starpvalstu sadarbības projektā, kurā tā piedalās kā darba grupas partneris vai vadošais partneris, ja starpvalstu sadarbības projekta izmaksas sedz divas vai vairākas valstis.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28.01.2025. noteikumu Nr. 67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Starpvalstu sadarbības projektos vadošais partneris ir persona, kura koordinē starpvalstu sadarbības projekta īstenošanu un visu partneru darbību, tādējādi nodrošinot, lai plānotās projekta darbības notiek saskaņā ar grafiku un budžetu.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28.01.2025. noteikumu Nr. 67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Darba grupa var pieteikties uz atbalstu tikai savu vietējo darbību izdevumu segšanai. Attiecināmās un neattiecināmās izmaksas starpvalstu sadarbības projektos atbilst šo noteikumu </w:t>
      </w:r>
      <w:r w:rsidR="00000000" w:rsidRPr="00000000" w:rsidDel="00000000">
        <w:rPr>
          <w:rtl w:val="0"/>
        </w:rPr>
        <w:t xml:space="preserve">IV nodaļā</w:t>
      </w:r>
      <w:r w:rsidR="00000000" w:rsidRPr="00000000" w:rsidDel="00000000">
        <w:rPr>
          <w:rtl w:val="0"/>
        </w:rPr>
        <w:t xml:space="preserve"> minētajām attiecināmajām un neattiecināmajām izmaksām.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28.01.2025. noteikumu Nr. 67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Atbalsta pretendents, piedaloties starpvalstu sadarbības projektos, Lauku atbalsta dienestā iesniedz:</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saskaņā ar šo noteikumu </w:t>
      </w:r>
      <w:r w:rsidR="00000000" w:rsidRPr="00000000" w:rsidDel="00000000">
        <w:rPr>
          <w:rtl w:val="0"/>
        </w:rPr>
        <w:t xml:space="preserve">27.</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apliecinājumu par citas valsts finansējuma apstiprināšanu, ja tāds ir;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sadarbības līgumu starp darba grupām, tajā iekļaujot šādu informāciju par katru darba grupu: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mērķis, uzdevumi un darbības;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darba sadale starp darba grupām;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budžeta sadalījums starp darba grupām;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rezultātu izmantošanas, ieviešanas, kā arī publicitātes nosacījumi;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projektu ir apņēmusies finansēt cita sadarbības valsts, – attiecīgu apliecinājumu.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28.01.2025. noteikumu Nr. 67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26-TA-528</w:t>
    </w:r>
    <w:r>
      <w:br/>
    </w:r>
    <w:r w:rsidR="00000000" w:rsidRPr="00000000" w:rsidDel="00000000">
      <w:rPr>
        <w:rtl w:val="0"/>
      </w:rPr>
      <w:t xml:space="preserve">Izdrukāts 29.07.2026. 22.27 - 2.0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26-TA-528</w:t>
    </w:r>
    <w:r>
      <w:br/>
    </w:r>
    <w:r w:rsidR="00000000" w:rsidRPr="00000000" w:rsidDel="00000000">
      <w:rPr>
        <w:rtl w:val="0"/>
      </w:rPr>
      <w:t xml:space="preserve">Izdrukāts 29.07.2026. 22.27 - 2.0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noteikumu_konsolidētā_versija_26-TA-528.docx</dc:title>
</cp:coreProperties>
</file>

<file path=docProps/custom.xml><?xml version="1.0" encoding="utf-8"?>
<Properties xmlns="http://schemas.openxmlformats.org/officeDocument/2006/custom-properties" xmlns:vt="http://schemas.openxmlformats.org/officeDocument/2006/docPropsVTypes"/>
</file>