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26. novembra noteikumos Nr. 748 "Eiropas Savienības kohēzijas politikas programmas 2021.–2027. gadam 1.2.2. specifiskā atbalsta mērķa "Izmantot digitalizācijas priekšrocības uzņēmējdarbības attīstībai" 1.2.2.1. pasākuma "Atbalsts procesu digitalizācijai komercdarbībā"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26. novembra noteikumos Nr. 748 "Eiropas Savienības kohēzijas politikas programmas 2021.–2027. gadam 1.2.2. specifiskā atbalsta mērķa "Izmantot digitalizācijas priekšrocības uzņēmējdarbības attīstībai" 1.2.2.1. pasākuma "Atbalsts procesu digitalizācijai komercdarbībā" īstenošanas noteikumi" (Latvijas Vēstnesis, 2024, 233.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1.7.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gala labuma guvējs – sīkais (mikro), mazais un vidējais komersants (tai skaitā juridiskas personas ārvalstu filiāle, zemnieku saimniecība, kooperatīvā sabiedrība), kas atbilst sīkā (mikro), mazā vai vidējā saimnieciskās darbības subjekta statusam saskaņā ar Eiropas Komisijas 2014. gada 17. jūnija Regulas (ES) Nr. 651/2014, ar ko noteiktas atbalsta kategorijas atzīst par saderīgām ar iekšējo tirgu, piemērojot Līguma 107. un 108. pantu (turpmāk - Regula Nr. 651/2014), 2. panta 2. punktu, mazas vidējas kapitalizācijas sabiedrības saskaņā ar Eiropas Parlamenta un Padomes 2015. gada 25. jūnija Regulas (ES) Nr. 2015/1017 par Eiropas Stratēģisko investīciju fondu, Eiropas Investīciju konsultāciju centru un Eiropas Investīciju projektu portālu, ar ko groza Regulas (ES) Nr. 1291/2013 un (ES) Nr. 1316/2013 – Eiropas Stratēģisko investīciju fonds (turpmāk – Regula Nr. 2015/1017), 2. panta 6. punktu, kā arī vidējas kapitalizācijas sabiedrības saskaņā ar Regulas Nr. 2015/1017 2. panta 7. punktu un Biedrību un nodibinājumu reģistrā reģistrētas biedrības un nodibinājumi, kas veic saimniecisko darbību un kas atbilst sīkā (mikro), mazā vai vidējā saimnieciskās darbības subjekta statusam saskaņā ar Regulas Nr. 651/2014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Pasākuma ietvaros plānotais kopējais attiecināmais finansējums ir 23 257 923 euro, tai skaitā Eiropas Reģionālās attīstības fonda finansējums 19 769 234 euro un valsts budžeta līdzfinansējums 3 488 689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10.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ar grantiem atbalstīti komersanti – 620;".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11.2.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publisko atbalstu papildinošās privātās investīcijas (tai skaitā granti, finanšu instrumenti) – 2 870 869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Latvijas Investīciju un attīstības aģentūra sniedz atbalstu gala labuma guvējam granta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nepieciešamo ārpakalpojumu (piemēram, juridiskie pakalpojumi, mārketinga materiālu izgatavošana, mārketinga aktivitātes un citi ārpakalpojumi)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Pasākuma ietvaros gala labuma guvējam ir atbalstāmas šādas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 jaunu digitālu risinājumu iegāde, izstrāde un ieviešana;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 mākslīgā intelekta risinājumu izstrāde un ieviešana;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3. digitālā brieduma novērtējuma veikšana."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Pasākuma ietvaros gala labuma guvējam atbalstāmās darbības, kas minētas šo noteikumu 27.</w:t>
      </w:r>
      <w:r w:rsidR="00000000" w:rsidRPr="00000000" w:rsidDel="00000000">
        <w:rPr>
          <w:vertAlign w:val="superscript"/>
          <w:rtl w:val="0"/>
        </w:rPr>
        <w:t xml:space="preserve">1</w:t>
      </w:r>
      <w:r w:rsidR="00000000" w:rsidRPr="00000000" w:rsidDel="00000000">
        <w:rPr>
          <w:rtl w:val="0"/>
        </w:rPr>
        <w:t xml:space="preserve"> punktā, paredz ieguldījumus šādu komercdarbības procesu uzlabošanā: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administratīvie procesi – finanses un grāmatvedība, administrācija, dokumentu vadība, projektu vadība, kopdarbība, sistēmu savietojamība;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personāla vadības procesi – cilvēku resursu vadība, darba laika uzskaite, darba deleģēšana, personāla iesaiste, novērtēšana un motivācija;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 pārdošanas procesi – klientu piesaiste un darījumu vadības automatizācija, pārdošana un darījumu atsekošana, e-komercija, digitālais mārketings, digitālie risinājumi mazumtirdzniecībai, klientu attiecību pārvaldība (</w:t>
      </w:r>
      <w:r w:rsidR="00000000" w:rsidRPr="00000000" w:rsidDel="00000000">
        <w:rPr>
          <w:i w:val="1"/>
          <w:rtl w:val="0"/>
        </w:rPr>
        <w:t xml:space="preserve">Customer relationship management</w:t>
      </w:r>
      <w:r w:rsidR="00000000" w:rsidRPr="00000000" w:rsidDel="00000000">
        <w:rPr>
          <w:rtl w:val="0"/>
        </w:rPr>
        <w:t xml:space="preserve"> – CRM);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28.4. resursu pārvaldības procesi – resursu vadība (</w:t>
      </w:r>
      <w:r w:rsidR="00000000" w:rsidRPr="00000000" w:rsidDel="00000000">
        <w:rPr>
          <w:i w:val="1"/>
          <w:rtl w:val="0"/>
        </w:rPr>
        <w:t xml:space="preserve">Enterprise resource planning</w:t>
      </w:r>
      <w:r w:rsidR="00000000" w:rsidRPr="00000000" w:rsidDel="00000000">
        <w:rPr>
          <w:rtl w:val="0"/>
        </w:rPr>
        <w:t xml:space="preserve"> – ERP, noliktavu pārvaldības sistēmas), energoresursu pārvaldība, efektīvāka resursu izmantošana;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28.5. datu pārvaldības procesi – datu drošība, datu glabāšana, komunikācijas infrastruktūra;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28.6. transports un loģistikas procesi – lietu internets, viedie mobilitātes risinājumi, uztveres sistēmas, satiksmes monitorings;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 ražošanas un kvalitātes kontroles procesi –  ražošanas un biznesa procesu vadība un automatizācija, kvalitātes kontroles sistēma, datu sinhronizācija, datu analītika;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28.8. operatīvās vadības procesi – biznesa vadība, biznesa analītika, lielo datu analītika, risinājumi vadības lēmumu pieņemšanai, datu automatizācija, sinhronizācija;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28.9. stratēģiskā vadība – digitalizācijas (procesu un produktu) un inovāciju attīstības stratēģija;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28.10. citu ar informācijas un komunikācijas tehnoloģiju produktiem, tehnoloģijām, drošību vai procesiem saistītu uzlabojumu veikšana."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Šo noteikumu 27.</w:t>
      </w:r>
      <w:r w:rsidR="00000000" w:rsidRPr="00000000" w:rsidDel="00000000">
        <w:rPr>
          <w:vertAlign w:val="superscript"/>
          <w:rtl w:val="0"/>
        </w:rPr>
        <w:t xml:space="preserve">1</w:t>
      </w:r>
      <w:r w:rsidR="00000000" w:rsidRPr="00000000" w:rsidDel="00000000">
        <w:rPr>
          <w:rtl w:val="0"/>
        </w:rPr>
        <w:t xml:space="preserve">1. apakšpunktā minēto darbību īstenošanai gala labuma guvējam ir attiecināmas šādas izmaksu pozīcijas: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 gatavo risinājumu, aparatūras, sensoru, iekārtu, programmatūras un informācijas tehnoloģiju infrastruktūras un licences iegādes izmaksas, uzstādīšanas, pielāgošanas, kā arī ar tām saistīto konsultāciju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 licences iegādes vai abonēšanas un sertificēšanas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Šo noteikumu 27.</w:t>
      </w:r>
      <w:r w:rsidR="00000000" w:rsidRPr="00000000" w:rsidDel="00000000">
        <w:rPr>
          <w:vertAlign w:val="superscript"/>
          <w:rtl w:val="0"/>
        </w:rPr>
        <w:t xml:space="preserve">1</w:t>
      </w:r>
      <w:r w:rsidR="00000000" w:rsidRPr="00000000" w:rsidDel="00000000">
        <w:rPr>
          <w:rtl w:val="0"/>
        </w:rPr>
        <w:t xml:space="preserve">2. apakšpunktā minēto darbību īstenošanai gala labuma guvējam ir attiecināmas šādas izmaksu pozīcijas: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 gatavo risinājumu, aparatūras, sensoru, iekārtu, programmatūras un informācijas tehnoloģiju infrastruktūras un licences iegādes izmaksas, uzstādīšanas, pielāgošanas, kā arī ar tām saistīto konsultāciju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 licences iegādes vai abonēšanas un sertificēšanas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3. mākslīgā intelekta gatavo risinājumu, aparatūras, sensoru, iekārtu, programmatūras un informācijas tehnoloģiju infrastruktūras un licences iegādes izmaksas, uzstādīšanas, pielāgošanas, kā arī ar tām saistīto konsultāciju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4. mākslīgā intelekta risinājuma licences iegādes vai abonēšanas un sertificēšanas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5. mākslīgā intelekta risinājuma, robotizācijas ieviešanas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6. mākslīgā intelekta risinājuma datu ieguves, apkopošanas un apstrādes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7. mākslīgā intelekta risinājuma infrastruktūras uzturēšanas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8. mākslīgā intelekta risinājumu vai rīku izstrādes un ieviešanas, kas palīdzētu ražošanas un pakalpojumu attīstībā,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9. mākslīgā intelekta risinājuma kiberdrošības stiprināšanai, procesu automatizācijai, procesu efektivizācijai, jaunu produktu izstrādei, klientu pieredzes, apkalpošanas uzlabošanai, paātrināšanai, kā arī ar tām saistīto konsultāciju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Šo noteikumu 27.</w:t>
      </w:r>
      <w:r w:rsidR="00000000" w:rsidRPr="00000000" w:rsidDel="00000000">
        <w:rPr>
          <w:vertAlign w:val="superscript"/>
          <w:rtl w:val="0"/>
        </w:rPr>
        <w:t xml:space="preserve">1</w:t>
      </w:r>
      <w:r w:rsidR="00000000" w:rsidRPr="00000000" w:rsidDel="00000000">
        <w:rPr>
          <w:rtl w:val="0"/>
        </w:rPr>
        <w:t xml:space="preserve">3. apakšpunktā noteiktās darbības īstenošanai gala labuma guvējiem attiecināmas Eiropas digitālā inovāciju centra digitālā brieduma novērtējuma izmaksas saskaņā ar tā izstrādāto cenrādi – sākotnējā un otrreizējā digitālā brieduma testa veikšanas, digitālās ceļa kartes un atzinuma izstrādes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32.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33.2.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esošas programmatūras un informācijas sistēmu atbalsts, izņemot drošības testus, t.sk., kiberdrošības paaugstināšanu;".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esošo programmu papildināšana ar jaunu funkcionalitāti lietotājiem, izņemot mākslīgā intelekta risinājumu ieviešanu;".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Šajos noteikumos minētās izmaksas finansējuma saņēmējam ir attiecināmas no projekta iesnieguma iesniegšanas dienas. Šajos noteikumos minētās izmaksas gala labuma guvējam ir attiecināmas no pieteikuma iesniegšanas dienas Finansējuma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41.9.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"41.9. nodrošināt interešu konflikta neesību saskaņā ar Eiropas Parlamenta un Padomes 2024. gada 23. septembra Regulas Nr. 2024/2509 par finanšu noteikumiem, ko piemēro Savienības vispārējam budžetam (turpmāk – regula Nr. 2024/2509), 61. panta prasībām un normatīvajiem aktiem publisko iepirkumu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41.11.1.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"41.11.1. pasākumus interešu konflikta riska kontrolei atbalsta piešķiršanas procedūrā un publiskajos iepirkumos (preventīvus pasākumus un konstatēšanas pasākumus interešu konflikta riska kontrolei, tai skaitā paziņošanas procedūru, labošanas pasākumus) un informāciju par interešu konflikta novēršanu saskaņā ar regulas Nr. 2024/2509 61.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41.12.3.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"41.12.3. atbalstīto gala labuma guvēju skaits katrā no Viedās specializācijas stratēģijas (turpmāk – RIS3) jomām sadalījumā pa gala labuma guvēju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 41.13.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 43.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44.1.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"44.1. finansējuma piešķiršanas brīdī uz to ir attiecināms kāds no Eiropas Savienības fondu 2021.–2027. gada plānošanas perioda vadības likuma 22. pantā, izņemot tā pirmās daļas 5. punktā minētajiem, noteiktajiem projekta iesniedzēju izslēgšanas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45.2.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"45.2. ieroču un munīcijas tirdzniecībai (Saimniecisko darbību statistiskās klasifikācijas Eiropas Kopienā 2.1 redakcija (turpmāk – NACE 2.1 red.), grupa 47.78 "Citu jaunu preču mazumtirdzniecība");".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45.3.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"45.3. azartspēlēm un derībām (NACE 2.1 red. 92. nodaļa "Azartspēles un derības");".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45.4.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"45.4. tabakas izstrādājumu ražošanai un tirdzniecībai (NACE 2.1 red. 12. nodaļa "Tabakas izstrādājumu ražošana", grupa 46.35 "Tabakas izstrādājumu vairumtirdzniecība" un grupa 47.26 "Tabakas izstrādājumu mazumtirdzniecība");".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45.5.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"45.5. alkohola tirdzniecībai (NACE 2.1 red. grupa 46.34 "Dzērienu vairumtirdzniecība" un grupa 47.25 "Dzērienu mazumtirdzniecība");".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45.6.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"45.6. operācijām ar nekustamo īpašumu (NACE 2.1 red. grupa 68.11 "Sava nekustama īpašuma pirkšana un pārdošana" un grupa 68.31 "Starpniecības pakalpojumi operācijās ar nekustamo īpašumu");".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45.7.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"45.7. atkritumu apstrādei un izvietošanai, materiālu pārstrādei (NACE 2.1 red. grupa 38.21 "Materiālu atgūšana" un 38.23 "Cita resursu atgūšana no atkritumiem");".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45.8.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"45.8. darbībām, kas minētas NACE 2.1 red. L sadaļā "Finanšu un apdrošināšanas darbības", izņemot finanšu tehnoloģiju uzņēmumus jeb tādus uzņēmumus, kas rada un izmanto jaunas un inovatīvas tehnoloģijas finanšu pakalpojumu sniegšanai, rada jaunus pakalpojumus vai būtiski maina esošos finanšu produktus un pakalpojumus to klientiem vai piegādā risinājumus citiem finanšu pakalpojumu sniedzējiem to atbilstības vai biznesa procesu uzlabošanai (</w:t>
      </w:r>
      <w:r w:rsidR="00000000" w:rsidRPr="00000000" w:rsidDel="00000000">
        <w:rPr>
          <w:i w:val="1"/>
          <w:rtl w:val="0"/>
        </w:rPr>
        <w:t xml:space="preserve">RegTech, InsurTech</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48.1.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"48.1. šo noteikumu 29. punktā noteiktajām izmaksām nepārsniedz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48.2.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"48.2. šo noteikumu 29.</w:t>
      </w:r>
      <w:r w:rsidR="00000000" w:rsidRPr="00000000" w:rsidDel="00000000">
        <w:rPr>
          <w:vertAlign w:val="superscript"/>
          <w:rtl w:val="0"/>
        </w:rPr>
        <w:t xml:space="preserve">1</w:t>
      </w:r>
      <w:r w:rsidR="00000000" w:rsidRPr="00000000" w:rsidDel="00000000">
        <w:rPr>
          <w:rtl w:val="0"/>
        </w:rPr>
        <w:t xml:space="preserve"> punktā noteiktajām izmaksām nepārsniedz 200 000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Papildināt ar 48.3.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"48.3. šo noteikumu 29.</w:t>
      </w:r>
      <w:r w:rsidR="00000000" w:rsidRPr="00000000" w:rsidDel="00000000">
        <w:rPr>
          <w:vertAlign w:val="superscript"/>
          <w:rtl w:val="0"/>
        </w:rPr>
        <w:t xml:space="preserve">2</w:t>
      </w:r>
      <w:r w:rsidR="00000000" w:rsidRPr="00000000" w:rsidDel="00000000">
        <w:rPr>
          <w:rtl w:val="0"/>
        </w:rPr>
        <w:t xml:space="preserve"> punktā noteiktajām izmaksām nepārsniedz 10 000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Papildināt ar 49.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Finansējuma saņēmējs, sniedzot atbalstu, nodrošina šādu rādītāju sniegšanu: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1. šo noteikumu 48.1. apakšpunktā noteikto atbalstu piešķir vismaz 450 gala labuma guvējiem;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2. šo noteikumu 48.2. apakšpunktā noteikto atbalstu piešķir vismaz 65 gala labuma guvējiem;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3. šo noteikumu 48.3. apakšpunktā noteikto atbalstu piešķir vismaz 105 gala labuma guvējiem."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25-TA-184</w:t>
    </w:r>
    <w:r>
      <w:br/>
    </w:r>
    <w:r w:rsidR="00000000" w:rsidRPr="00000000" w:rsidDel="00000000">
      <w:rPr>
        <w:rtl w:val="0"/>
      </w:rPr>
      <w:t xml:space="preserve">Izdrukāts 29.07.2026. 23.45 - 1.0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25-TA-184</w:t>
    </w:r>
    <w:r>
      <w:br/>
    </w:r>
    <w:r w:rsidR="00000000" w:rsidRPr="00000000" w:rsidDel="00000000">
      <w:rPr>
        <w:rtl w:val="0"/>
      </w:rPr>
      <w:t xml:space="preserve">Izdrukāts 29.07.2026. 23.45 - 1.0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noteikumu_(grozījumu)_projekts_25-TA-184.docx</dc:title>
</cp:coreProperties>
</file>

<file path=docProps/custom.xml><?xml version="1.0" encoding="utf-8"?>
<Properties xmlns="http://schemas.openxmlformats.org/officeDocument/2006/custom-properties" xmlns:vt="http://schemas.openxmlformats.org/officeDocument/2006/docPropsVTypes"/>
</file>