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22.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pielikums</w:t>
      </w:r>
      <w:r>
        <w:tab/>
      </w:r>
      <w:r>
        <w:br/>
      </w:r>
      <w:r w:rsidR="00000000" w:rsidRPr="00000000" w:rsidDel="00000000">
        <w:rPr>
          <w:rtl w:val="0"/>
        </w:rPr>
        <w:t xml:space="preserve">Ministru kabineta</w:t>
      </w:r>
      <w:r>
        <w:tab/>
      </w:r>
      <w:r>
        <w:br/>
      </w:r>
      <w:r w:rsidR="00000000" w:rsidRPr="00000000" w:rsidDel="00000000">
        <w:rPr>
          <w:rtl w:val="0"/>
        </w:rPr>
        <w:t xml:space="preserve">2014. gada 2. septembra</w:t>
      </w:r>
      <w:r>
        <w:tab/>
      </w:r>
      <w:r>
        <w:br/>
      </w:r>
      <w:r w:rsidR="00000000" w:rsidRPr="00000000" w:rsidDel="00000000">
        <w:rPr>
          <w:rtl w:val="0"/>
        </w:rPr>
        <w:t xml:space="preserve">noteikumiem Nr. 529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Veikto būvdarbu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vai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24-TA-434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24-TA-434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noteikumu_(grozījumu)_projekts_p_24-TA-434.docx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