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14. jūlija noteikumos Nr. 389 "Darbības programmas "Izaugsme un nodarbinātība" 3.4.2. specifiskā atbalsta mērķa "Valsts pārvaldes profesionālā pilnveide, publisko pakalpojumu un sociālā dialoga attīstība mazo un vidējo komersantu atbalsta, korupcijas novēršanas un ēnu ekonomikas mazināšanas sekmēšanai" 3.4.2.1. pasākuma "Valsts pārvaldes profesionālā pilnveide labāka tiesiskā regulējuma izstrādē mazo un vidējo komersantu atbalsta, korupcijas novēršanas un ēnu ekonomikas mazināšanas jomās"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w:t>
      </w:r>
      <w:r>
        <w:br/>
      </w:r>
      <w:r w:rsidR="00000000" w:rsidRPr="00000000" w:rsidDel="00000000">
        <w:rPr>
          <w:rStyle w:val="paragraph"/>
          <w:i w:val="1"/>
          <w:rtl w:val="0"/>
        </w:rPr>
        <w:t xml:space="preserve">perioda vadības likuma 20.panta 6. un 13.punktu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14. jūlija noteikumos Nr. 389 "Darbības programmas "Izaugsme un nodarbinātība" 3.4.2. specifiskā atbalsta mērķa "Valsts pārvaldes profesionālā pilnveide, publisko pakalpojumu un sociālā dialoga attīstība mazo un vidējo komersantu atbalsta, korupcijas novēršanas un ēnu ekonomikas mazināšanas sekmēšanai" 3.4.2.1. pasākuma "Valsts pārvaldes profesionālā pilnveide labāka tiesiskā regulējuma izstrādē mazo un vidējo komersantu atbalsta, korupcijas novēršanas un ēnu ekonomikas mazināšanas jomās" īstenošanas noteikumi" (Latvijas Vēstnesis, 2015, 137. nr.; 2016, 97. nr.; 2017, 38., 237. nr.; 2019, 108. nr.; 2021, 69.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komersantu, nevalstisko organizāciju un sabiedrības vērtējums par valsts pārvaldes profesionālās pilnveides progresu un kapacitāti uzņēmējdarbības vides uzlabošanas, administratīvā sloga mazināšanas un korupcijas un ēnu ekonomikas mazināšanas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21-TA-1145</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21-TA-1145</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noteikumu_(grozījumu)_projekts_21-TA-1145.docx</dc:title>
</cp:coreProperties>
</file>

<file path=docProps/custom.xml><?xml version="1.0" encoding="utf-8"?>
<Properties xmlns="http://schemas.openxmlformats.org/officeDocument/2006/custom-properties" xmlns:vt="http://schemas.openxmlformats.org/officeDocument/2006/docPropsVTypes"/>
</file>