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un Norvēģijas finanšu instrumenta 2014.–2021. gada perioda programmas "Pētniecība un izglītība" aktivitātes "Stipendijas" atklātā konkursa projektu iesniegumu vērtēšanas kritēriji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Administratīvie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7413"/>
        <w:gridCol w:w="1281"/>
        <w:tblGridChange w:id="0">
          <w:tblGrid>
            <w:gridCol w:w="706"/>
            <w:gridCol w:w="7413"/>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Administratīvais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 "Jā"/"Nē"</w:t>
            </w:r>
            <w:r w:rsidR="00000000" w:rsidRPr="00000000" w:rsidDel="00000000">
              <w:rPr>
                <w:vertAlign w:val="superscript"/>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angļu valodā un iesniegts elektroniski, izmantojot elektronisko projektu iesniegumu iesniegšanas sistēmu atklāta konkursa sludinājumā norādītajā 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 ir akreditēta Latvijas augstskola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partneris ir donorvalsts augstskola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 apliecinājumu parakstījusi projekta iesnieguma iesniedzēja atbildīgā amatpersona  vai persona, kuras paraksttiesības apliecina projekta iesnieguma iesniedzēja izdots 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pilnībā aizpildīts, un tam ir pievienoti visi projektu iesniegumu atlases konkursa nolikumā norādītie pielikumi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ilgums atbilst projekta iesniegumu atlases nolikumā norādītajam projekta īstenošanas ilgumam, un projekta plānotais studējošo, akadēmiskā un administratīva personāla apmaiņas ilgums atbilst šo noteikumu 24. punktam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attiecināmās izmaksas atbilst šo noteikumu 26. un 27. punktā norādītajām attiecināmajām izmaksām un vienas vienības standarta likmēm, un projekta iesniegumā norādītais projekta finansējums atbilst šo noteikumu 7.3. apakšpunktā norādītajam projekta finansējuma apmēram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partnera nodomu vēstuli parakstījusi projekta partnera atbildīgā amatpersona vai persona, kuras paraksttiesības apliecina projekta iesnieguma iesniedzēja izdots 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iesniedzējam Latvijas Republikā nav nodokļu parādu, tajā skaitā valsts sociālās apdrošināšanas obligāto iemaksu parādu, kas kopsummā pārsniedz 150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Projekta iesniegumus vērtē ar "Jā" (atbilst) un "Nē" (neatbilst) saskaņā ar administratīvajiem kritērijiem. Ja vērtējums ir negatīvs (N), projekta iesniegumu noraida.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 – var pieņemt lēmumu par projekta apstiprināšanu ar nosacījumu, ka projekta iesniedzējs nodrošinās atbilstību kritērijam lēmumā noteiktajā termiņā.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Kvalitātes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68"/>
        <w:gridCol w:w="5401"/>
        <w:gridCol w:w="1089"/>
        <w:gridCol w:w="1281"/>
        <w:tblGridChange w:id="0">
          <w:tblGrid>
            <w:gridCol w:w="1568"/>
            <w:gridCol w:w="5401"/>
            <w:gridCol w:w="1089"/>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Vērtējamie aspekti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sliekšņa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atbilstība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projekta atbilstība iesaistīto augstskolu internacionalizācijas stratēģijai, plānotās personāla un/vai studentu mobilitātes izvēles pamatojums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izstrādes un ieviešanas kvalitāte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Skaidri aprakstīti pienākumi, atbildības jomas un uzdevumu sadalījums starp iesaistītajām augstskolām, mobilitātes dalībnieku atlases procedūras kvalitāte, t. sk. dalībnieku atlases kritēriji, sniegtais atbalsts mobilitātes dalībniekiem, ieplānotā studentu mobilitātes perioda atzīšana (Eiropas kredītu pārneses sistēma (ECTS))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 un izplatīšana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iespējamā ietekme uz mobilitātes dalībniekiem un iesaistītajām augstskolām vietējā, reģionālajā un valsts līmenī. Publicitātes pasākumu, kuru mērķis ir izplatīt projekta rezultātus, kvalitāte augstskolu struktūrvienību un visas augstskolas līmenī, kā arī plašākā mērogā saņēmējvalstī un donorvalstī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iesnieguma kopējais punktu skaits ir 0–100. Kvalitātes sliekšņa vērtība (punktu skaits), lai projekta iesniegums kvalificētos apstiprināšanai virzāmo projektu sarakstā, ir 60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 10 punktus piešķir projekta iesniegumam, kurā plānota sinerģija ar Baltijas pētniecības programmas projektiem.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Vērtējumu skala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tblGridChange w:id="0">
          <w:tblGrid>
            <w:gridCol w:w="2622"/>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kvalitātes vērtēšanas kritēriju punktu skaits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Vērtējumu skala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apmierinoši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Ļoti labi – projekta iesniegumā pilnībā aprakstīti visi projekta iesnieguma veidlapā ietvertie jautājumi. Pilnībā ietverta visa prasītā informācija projekta iesnieguma izvērtēšanai, nav būtisku nepilnību.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Labi – projekta iesniegumā pietiekami aprakstīti visi projekta iesnieguma veidlapā ietvertie jautājumi, lai gan būtu nepieciešami atsevišķi papildinājumi. Sniegta pietiekami skaidra informācija par gandrīz visiem projekta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Apmierinoši – projekta iesniegums kopumā sniedz minimāli nepieciešamo informāciju, taču tajā ir nepilnības. Daļēji ietverta pieprasītā informācija, taču par atsevišķiem jautājumiem informācija nav atrodama vai ir neskaidra.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Vāji – projekta iesniegums nesniedz nepieciešamo informāciju tā izvērtēšanai.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21-TA-1761</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21-TA-1761</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noteikumu_konsolidētā_versija_p2_21-TA-1761.docx</dc:title>
</cp:coreProperties>
</file>

<file path=docProps/custom.xml><?xml version="1.0" encoding="utf-8"?>
<Properties xmlns="http://schemas.openxmlformats.org/officeDocument/2006/custom-properties" xmlns:vt="http://schemas.openxmlformats.org/officeDocument/2006/docPropsVTypes"/>
</file>