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450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27. jūnijā (prot. Nr. 33 32.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"Finansējums augstas gatavības projektiem Covid-19 krīzes pārvarēšanai un ekonomikas atlabšanai"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resora "74. Gadskārtējā valsts budžeta izpildes procesā pārdalāmais finansējums" valsts budžeta programmas 13.00.00 "Finansējums augstas gatavības projektiem Covid-19 krīzes pārvarēšanai un ekonomikas atlabšanai" piešķirt Kultūras ministrijai pārskaitīšanai valsts akciju sabiedrībai "Valsts nekustamie īpašumi" 700 000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profesionālās izglītības kompetences centra "Rīgas Dizaina un mākslas vidusskola" un Latvijas Mākslas akadēmijas prototipēšanas darbnīcu "</w:t>
      </w:r>
      <w:r w:rsidR="00000000" w:rsidRPr="00000000" w:rsidDel="00000000">
        <w:rPr>
          <w:i w:val="1"/>
          <w:rtl w:val="0"/>
        </w:rPr>
        <w:t xml:space="preserve">Riga Makerspace</w:t>
      </w:r>
      <w:r w:rsidR="00000000" w:rsidRPr="00000000" w:rsidDel="00000000">
        <w:rPr>
          <w:rtl w:val="0"/>
        </w:rPr>
        <w:t xml:space="preserve">" izbūvei Aristida Briāna ielā 13, Rīgā, lai Covid-19 krīzes seku pārvarēšanas un ekonomikas atlabšanas pasākumu ietvaros veiktu investīcijas kultūras infrastruktūrā.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Kultūras ministrijai sagatavot un divu nedēļu laikā normatīvajos aktos noteiktajā kārtībā iesniegt Finanšu ministrijā pieprasījumu par līdzekļu piešķiršanu atbilstoši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apropriācijas izmaiņām atbilstoši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 un, ja Saeimas Budžeta un finanšu (nodokļu) komisija piecu darbdienu laikā pēc attiecīgās informācijas saņemšanas nav izteikusi iebildumus, veikt apropriācijas izmaiņas.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Kultūras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N. Puntulis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22-TA-1831</w:t>
    </w:r>
    <w:r>
      <w:br/>
    </w:r>
    <w:r w:rsidR="00000000" w:rsidRPr="00000000" w:rsidDel="00000000">
      <w:rPr>
        <w:rtl w:val="0"/>
      </w:rPr>
      <w:t xml:space="preserve">Izdrukāts 30.07.2026. 00.06 - 1.0.VK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22-TA-1831</w:t>
    </w:r>
    <w:r>
      <w:br/>
    </w:r>
    <w:r w:rsidR="00000000" w:rsidRPr="00000000" w:rsidDel="00000000">
      <w:rPr>
        <w:rtl w:val="0"/>
      </w:rPr>
      <w:t xml:space="preserve">Izdrukāts 30.07.2026. 00.06 - 1.0.VK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rīkojuma_projekts_22-TA-1831.docx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