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400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28. maijā (prot. Nr. 22 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interešu pārstāvību starptautiskajās cilvēktiesību institūcijās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Ministru kabineta 2017. gada 7. marta noteikumu Nr. 121 "Pārstāvības kārtība starptautiskajās cilvēktiesību institūcijās" </w:t>
      </w:r>
      <w:r w:rsidR="00000000" w:rsidRPr="00000000" w:rsidDel="00000000">
        <w:rPr>
          <w:rtl w:val="0"/>
        </w:rPr>
        <w:t xml:space="preserve">3. un 4. punktu pilnvarot Ārlietu ministrijas Latvijas pārstāvja starptautiskajās cilvēktiesību institūcijās biroja vadītāju Elīnu Luīzi Vītolu pārstāvēt Latvijas intereses starptautiskajās cilvēktiesību institūcijās no 2024. gada 3. jūnija līdz 2028. gada 2. jūnijam.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Ar 2024. gada 3. jūniju atzīt par spēku zaudējušu </w:t>
      </w:r>
      <w:r w:rsidR="00000000" w:rsidRPr="00000000" w:rsidDel="00000000">
        <w:rPr>
          <w:rtl w:val="0"/>
        </w:rPr>
        <w:t xml:space="preserve">Ministru kabineta 2023. gada 10. maija rīkojumu Nr. 266 "Par Latvijas interešu pārstāvību starptautiskajās cilvēktiesību institūcijās" </w:t>
      </w:r>
      <w:r w:rsidR="00000000" w:rsidRPr="00000000" w:rsidDel="00000000">
        <w:rPr>
          <w:rtl w:val="0"/>
        </w:rPr>
        <w:t xml:space="preserve">(Latvijas Vēstnesis, 2023, 90. 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B. Braže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24-TA-850</w:t>
    </w:r>
    <w:r>
      <w:br/>
    </w:r>
    <w:r w:rsidR="00000000" w:rsidRPr="00000000" w:rsidDel="00000000">
      <w:rPr>
        <w:rtl w:val="0"/>
      </w:rPr>
      <w:t xml:space="preserve">Izdrukāts 29.07.2026. 22.05 - 1.0.VK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24-TA-850</w:t>
    </w:r>
    <w:r>
      <w:br/>
    </w:r>
    <w:r w:rsidR="00000000" w:rsidRPr="00000000" w:rsidDel="00000000">
      <w:rPr>
        <w:rtl w:val="0"/>
      </w:rPr>
      <w:t xml:space="preserve">Izdrukāts 29.07.2026. 22.05 - 1.0.VK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rīkojuma_projekts_24-TA-850.docx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