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385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18. jūnijā (prot. Nr. 25 60.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5. septembra noteikumos Nr. 512 "Eiropas Savienības Atveseļošanas un noturības mehānisma plāna 3.1. reformu un investīciju virziena "Reģionālā politika" 3.1.2.1.i. investīcijas "Publisko pakalpojumu un nodarbinātības pieejamības veicināšanas pasākumi cilvēkiem ar funkcionāliem traucējumiem" otrās kārtas "Atbalsta pasākumi cilvēkiem ar invaliditāti mājokļu vides pieejamības nodrošināšanai"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5. septembra noteikumos Nr. 512 "Eiropas Savienības Atveseļošanas un noturības mehānisma plāna 3.1. reformu un investīciju virziena "Reģionālā politika" 3.1.2.1.i. investīcijas "Publisko pakalpojumu un nodarbinātības pieejamības veicināšanas pasākumi cilvēkiem ar funkcionāliem traucējumiem" otrās kārtas "Atbalsta pasākumi cilvēkiem ar invaliditāti mājokļu vides pieejamības nodrošināšanai" īstenošanas noteikumi" (Latvijas Vēstnesis, 2023, 173. nr.; 2024, 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7.1.1.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"7.1.1. līdz 2024. gada 31. martam – konkrētas mērķa grupas izvēle mājokļa fiziskās pieejamības uzlabošanai;".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"7.1.2. līdz 2025. gada 31. martam – iepirkumu līgumu noslēgšana personu ar invaliditāti mājokļu vides pieejamības pasākumu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mērķrādītājs – līdz 2026. gada 30. jūnijam nodrošināta pieejamība mājokļa videi 259 personām ar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Pasākuma Atveseļošanas fonda finansējums ir 4 739 441 </w:t>
      </w:r>
      <w:r w:rsidR="00000000" w:rsidRPr="00000000" w:rsidDel="00000000">
        <w:rPr>
          <w:i w:val="1"/>
          <w:rtl w:val="0"/>
        </w:rPr>
        <w:t xml:space="preserve">euro</w:t>
      </w:r>
      <w:r w:rsidR="00000000" w:rsidRPr="00000000" w:rsidDel="00000000">
        <w:rPr>
          <w:rtl w:val="0"/>
        </w:rPr>
        <w:t xml:space="preserve">. Papildus pasākuma finansējumu veido valsts budžeta finansējums pievienotās vērtības nodokļa segšanai indikatīvi 995 283 </w:t>
      </w:r>
      <w:r w:rsidR="00000000" w:rsidRPr="00000000" w:rsidDel="00000000">
        <w:rPr>
          <w:i w:val="1"/>
          <w:rtl w:val="0"/>
        </w:rPr>
        <w:t xml:space="preserve">euro</w:t>
      </w:r>
      <w:r w:rsidR="00000000" w:rsidRPr="00000000" w:rsidDel="00000000">
        <w:rPr>
          <w:rtl w:val="0"/>
        </w:rPr>
        <w:t xml:space="preserve">, kā arī pašvaldības budžeta finansējums un privātais finansējums, ja projekta izmaksas pārsniedz pieejamo Atveseļošanas fonda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 ja mērķa grupas personu skaits pārsniedz pašvaldības kvotu vai pēc ministrijas informācijas saņemšanas par pārdalīto pašvaldības papildu kvotu mērķa grupas pretendentu skaits ir lielāks nekā papildus pieejamā kvota: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16.5.1. izveido komisiju, kuras sastāvā iekļauj vismaz vienu pārstāvi no pašvaldības sociālā dienesta un biedrības vai nodibinājuma, kas darbojas personu ar invaliditāti interešu aizstāvības jomā, ergoterapeitu, kā arī, ja nepieciešams, iesaista citus speciālistus;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16.5.2. komisija veic mērķa grupas personas un tās mājokļa atbilstības izvērtējumu, piemērojot šo noteikumu 4. pielikumā noteiktos papildu kritērijus, un sagatavo atzinumu par mērķa grupas personas iekļaušanu pasākumā vai arī izslēgšanu no turpmākas dalības pasākumā;".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Ja mērķa grupas personu skaits ir mazāks vai lielāks par pašvaldībai noteikto kvotu, projekta iesniedzējs vai finansējuma saņēmējs informē ministriju un ministrija organizē pašvaldības kvotu pārdali starp pašvaldībām, nepārsniedzot šo noteikumu 7.2. apakšpunktā minēto personu skaitu. Pēc pašvaldību kvotu pārdales projekta iesniedzējs iesniedz precizējumus projekta veidlapā un tās pielikumos (turpmāk – projekta veidlapa) šo noteikumu 26.3.3. apakšpunktā noteiktajā kārtībā vai, ja noslēgts līgums, finansējuma saņēmējs un aģentūra veic projekta grozījumus šo noteikumu 32. punktā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Ja mērķa grupas persona pārtrauc dalību pasākumā vai rodas no finansējuma saņēmēja neatkarīgi apstākļi, kuru dēļ nav iespējams pabeigt mājokļa pielāgojumus, veiktās mājokļa vides pielāgojumu izmaksas sedz no šo noteikumu 10. punktā minētā finansējuma, bet mērķa grupas personai veiktos mājokļa vides pielāgojumus neieskaita šo noteikumu 7.2. apakšpunktā norādītajā mērķrādītājā."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26.3.3.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"26.3.3. lūdz projekta iesniedzēju veikt precizējumus projekta veidlapā, nosakot precizējumu veikšanas termiņu, ja projekta veidlapa neatbilst šo noteikumu 26.3.1. apakšpunktā minētajām prasībām vai ministrija ir nosūtījusi projekta iesniedzējam un aģentūrai informāciju par kvotu pārdali;".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35.4.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"35.4. nekavējoties informē Finanšu ministriju kā Atveseļošanas fonda plāna koordinatoru un, ja nepieciešams, Ministru kabinetu par ministrijas pasākuma ietvaros konstatētajiem vai no aģentūras vai Iepirkumu uzraudzības biroja, Finanšu ministrijas kā Atveseļošanas fonda plāna revīzijas iestādes, Eiropas Komisijas, citām kontroles iestādēm vai finansējuma saņēmēja saņemto informāciju par konstatētajiem trūkumiem un pārkāpumiem saistībā ar Atveseļošanas fonda plāna prasību ievērošanu un riskiem šo noteikumu 7.1.1. un 7.1.2. apakšpunktā minētā atskaites punkta un šo noteikumu 7.2. apakšpunktā minētā mērķrādītāja sasniegšanai un iesniedz detalizētu situācijas aprakstu, kurā norāda pārkāpuma vai trūkuma rašanās cēloņus, finansiālo ietekmi, kā arī veicamās darbības un uzlabojumus, lai novērstu konstatētās nepilnības;".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35.5.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"35.5. organizē šo noteikumu 19. punktā noteikto pašvaldības kvotu pārdali starp pašvaldībām, informējot par to projektu iesniedzēju vai finansējuma saņēmēju un aģentūru, kā arī nodrošina pašvaldību kvotu izmaiņu dokumentēšanu."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VI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kultūras ministra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24-TA-948</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24-TA-948</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noteikumu_(grozījumu)_projekts_24-TA-948.docx</dc:title>
</cp:coreProperties>
</file>

<file path=docProps/custom.xml><?xml version="1.0" encoding="utf-8"?>
<Properties xmlns="http://schemas.openxmlformats.org/officeDocument/2006/custom-properties" xmlns:vt="http://schemas.openxmlformats.org/officeDocument/2006/docPropsVTypes"/>
</file>