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Nozares, kurām darbības programmas "Uzņēmējdarbības attīstība, inovācijas un mazie un vidējie uzņēmumi" ietvaros finansējums netiek sniegts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Tirdzniecības nozarei – saskaņā ar NACE 2. red. G sadaļu "Vairumtirdzniecība un mazumtirdzniecība; automobiļu un motociklu remonts".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Komercpakalpojumu nozarei – saskaņā ar NACE 2. red. L sadaļu "Operācijas ar nekustamo īpašumu" un N sadaļas "Administratīvo un apkalpojošo dienestu darbība" 77. nodaļu "Iznomāšana un ekspluatācijas līzings".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Azartspēļu nozarei – saskaņā ar NACE 2. red. R sadaļu "Māksla, izklaide un atpūta" 92. nodaļu "Azartspēles un derības".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Alkoholisko dzērienu ražošanas nozarei – saskaņā ar NACE 2. red. C sadaļas 11. nodaļu "Dzērienu ražošana", izņemot klasi 11.06 "Iesala ražošana" un klasi 11.07 "Bezalkohola dzērienu ražošana; minerālūdeņu un pudelēs iepildītu citu ūdeņu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Tabakas izstrādājumu ražošanas nozarei – saskaņā ar NACE 2. red. C sadaļas 12. nodaļu "Tabakas izstrādājumu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Atbalsts, ko sniedz atbilstoši Komisijas regulas Nr. 651/2014 nosacījumiem, netiek sniegts: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zivsaimniecības un akvakultūras nozarei – atbilstoši Komisijas regulas Nr. 651/2014 1. panta 3. punkta "a"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lauksaimniecības nozarei – atbilstoši Komisijas regulas Nr. 651/2014 1. panta 3. punkta "b" un "c"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darbības jomām atbilstoši Komisijas regulas Nr. 651/2014 1. panta 2. punkta "c" un "d"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 darbības jomām atbilstoši Komisijas regulas Nr. 651/2014 13. pantam.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Atbalsts, ko sniedz atbilstoši Komisijas regulas Nr. 1407/2013 nosacījumiem, netiek sniegts tām nozarēm, kuras atbilst Komisijas regulas Nr. 1407/2013 1. panta 1. punktā minētajiem izņēmumiem.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23-TA-1305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23-TA-1305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noteikumu_konsolidētā_versija_p2_23-TA-1305.docx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