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Ilgtspējas informācijas atklāšanas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Ilgtspējas informācijas atklāšanas likumā (Latvijas Vēstnesis, 2024, 193. nr.; 2025, 196.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lietotais termins "sabiedriskas nozīmes struktūra" atbilst Revīzijas pakalpojumu likumā lietotajam terminam, termini "sabiedrība" un "koncerns" atbilst Gada pārskatu un konsolidēto gada pārskatu likumā lietotajiem terminiem, termins "kredītiestāde" atbilst Kredītiestāžu likumā lietotajam terminam, termins "apdrošināšanas un pārapdrošināšanas sabiedrības" atbilst Apdrošināšanas un pārapdrošināšanas likumā lietotajam terminam."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komercsabiedrībām, kuru neto apgrozījums bilances datumā pārsniedz 450 000 000 </w:t>
      </w:r>
      <w:r w:rsidR="00000000" w:rsidRPr="00000000" w:rsidDel="00000000">
        <w:rPr>
          <w:i w:val="1"/>
          <w:rtl w:val="0"/>
        </w:rPr>
        <w:t xml:space="preserve">euro</w:t>
      </w:r>
      <w:r w:rsidR="00000000" w:rsidRPr="00000000" w:rsidDel="00000000">
        <w:rPr>
          <w:rtl w:val="0"/>
        </w:rPr>
        <w:t xml:space="preserve"> un kuru vidējais darbinieku skaits pārskata gadā pārsniedz 1000, kā arī koncerna mātes sabiedrībām, kuru neto apgrozījums bilances datumā konsolidēti pārsniedz 450 000 000 </w:t>
      </w:r>
      <w:r w:rsidR="00000000" w:rsidRPr="00000000" w:rsidDel="00000000">
        <w:rPr>
          <w:i w:val="1"/>
          <w:rtl w:val="0"/>
        </w:rPr>
        <w:t xml:space="preserve">euro</w:t>
      </w:r>
      <w:r w:rsidR="00000000" w:rsidRPr="00000000" w:rsidDel="00000000">
        <w:rPr>
          <w:rtl w:val="0"/>
        </w:rPr>
        <w:t xml:space="preserve"> un kuru vidējais darbinieku skaits pārskata gadā pārsniedz 1000;";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3.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meitas sabiedrībām, kuru galveno mātes sabiedrību reglamentē trešās valsts tiesību akti un kuru neto apgrozījums bilances datumā iepriekšējā pārskata gadā pārsniedz 200 000 000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4. punktā skaitli "40 000 000" ar skaitli "200 000 000" un skaitli "150 000 000" ar skaitli "450 000 000";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vārda "uz" ar vārdiem "Eiropas Finanšu stabilitātes instrumentu (EFSI), kas izveidots ar Eiropas Finanšu stabilitātes instrumentu (EFSI) pamatnolīgumu";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skaitļus un vārdus "1., 2. un 3. punktā" ar skaitli un vārdu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ar teikumu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"Pēc minētā triju gadu pārejas perioda likuma subjekts informāciju par vērtību ķēdi sniedz, pamatojoties uz informāciju, kas tieši iegūta no savas vērtību ķēdes sabiedrībām, vai attiecīgā gadījumā – uz minētās informācijas aplēsēm.";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 Šā panta pirmajā un otrajā daļā minētajā informācijā likuma subjekts ir tiesīgs neiekļaut:</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izņēmuma gadījumos informāciju, kuras atklāšana nopietni kaitētu likuma subjekta komerciālajam stāvoklim, ja izpildīti šādi nosacījumi: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nesniegtā informācija neliedz gūt taisnīgu un līdzsvarotu izpratni par likuma subjekta attīstību, darbības rezultātiem un stāvokli vai par tā galvenajiem riskiem vai galveno ietekmi,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likuma subjekts ir konstatējis, ka nav iespējams atklāt informāciju tādā veidā, kas ļautu sasniegt informācijas atklāšanas prasības mērķus, nopietni nekaitējot tā komerciālajam stāvoklim, piemēram, apkopotā veidā,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likuma subjekts atklāj, ka ir izmantojis šajā daļā noteikto izņēmumu, un katrā ziņojuma sniegšanas datumā atkārtoti izvērtē, vai informāciju joprojām var nesniegt;</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informāciju, kas atbilst intelektuālajam kapitālam, intelektuālajam īpašumam, zinātībai, tehnoloģijām vai inovācijas rezultātiem un ir kvalificējama kā komercnoslēpums saskaņā ar Komercnoslēpuma aizsardzības likumu, ja likuma subjekts ziņojumā norāda uz šā izņēmuma piemērošanu un katrā ziņojuma sniegšanas datumā atkārtoti izvērtē, vai informāciju joprojām ir pamats nesniegt;</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klasificētu informāciju Eiropas Parlamenta un Padomes 2023. gada 18. oktobra regulas (ES) 2023/2418, ar ko izveido instrumentu Eiropas aizsardzības industrijas pastiprināšanai, izmantojot kopīgu iepirkumu (EDIRPA) (turpmāk – Regula (ES) Nr. 2023/2418), 2. panta 7. punkta izpratnē, ja likuma subjekts ziņojumā norāda uz šā izņēmuma piemērošanu un katrā ziņojuma sniegšanas datumā atkārtoti izvērtē, vai informāciju joprojām ir pamats nesniegt;</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citu informāciju, kuras aizsardzību pret neatļautu piekļuvi vai atklāšanu paredz citi Eiropas Savienības vai valsts tiesību akti, lai aizsargātu fiziskas personas privātumu vai drošību vai juridiskas personas drošību, ja likuma subjekts ziņojumā norāda uz šā izņēmuma piemērošanu un katrā ziņojuma sniegšanas datumā atkārtoti izvērtē, vai informāciju joprojām ir pamats nesniegt.";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desmito un vienpadsmito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divpadsmitajā daļā vārdus "astotajā, devītajā un desmitajā" ar vārdiem "astotajā un devītajā".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w:t>
      </w:r>
      <w:r w:rsidR="00000000" w:rsidRPr="00000000" w:rsidDel="00000000">
        <w:rPr>
          <w:b w:val="1"/>
          <w:vertAlign w:val="superscript"/>
          <w:rtl w:val="0"/>
        </w:rPr>
        <w:t xml:space="preserve">1</w:t>
      </w:r>
      <w:r w:rsidR="00000000" w:rsidRPr="00000000" w:rsidDel="00000000">
        <w:rPr>
          <w:b w:val="1"/>
          <w:rtl w:val="0"/>
        </w:rPr>
        <w:t xml:space="preserve"> pants. Ilgtspējas informācijas pieprasīšanas ierobežojumi vērtību ķēdē</w:t>
      </w:r>
      <w:r w:rsidR="00000000" w:rsidRPr="00000000" w:rsidDel="00000000">
        <w:rPr>
          <w:rtl w:val="0"/>
        </w:rPr>
        <w:t xml:space="preserve">
</w:t>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Sabiedrība, kurai saskaņā ar šā likuma 4. pantu ir pienākums sagatavot ilgtspējas ziņojumu (turpmāk – ziņojošā sabiedrība), var paļauties uz vērtību ķēdē iesaistītās sabiedrības pašdeklarāciju (apliecinājumu), lai noteiktu, vai tā ir sabiedrība, kuras vidējais darbinieku skaits bilances datumā nepārsniedz 1 000 pārskata gadā (turpmāk – aizsargātā sabiedrība). Ziņojošajai sabiedrībai nav pienākuma pārbaudīt pašdeklarācijā ietverto informāciju, tomēr ziņojošā sabiedrība nevar paļauties uz pašdeklarāciju, ja tā zina vai tai ir pamatots iemesls uzskatīt, ka pašdeklarācijā ietvertā informācija ir acīmredzami nepareiza.</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Aizsargātajai sabiedrībai ir tiesības atteikties sniegt informāciju, kas pārsniedz to informāciju, kas noteikta Eiropas Komisijas pieņemtajos ilgtspējas ziņu sniegšanas standartos, kuru izmantošana ir brīvprātīga (turpmāk – brīvprātīgie standarti), ja informācija tiek pieprasīta ilgtspējas ziņu sniegšanas nolūkā.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Piemērojot šā panta otro daļu: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ziņojošā sabiedrība, noslēdzot līgumus vai citas vienošanās, kas nepieciešamas šajā likumā noteikto ilgtspējas ziņu sniegšanas prasību izpildei, nepieprasa aizsargātajai sabiedrībai sniegt informāciju, kas pārsniedz brīvprātīgajos standartos noteikto informāciju;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līguma noteikums, kas ir pretrunā ar šīs daļas 1. punktu, nav spēkā tiktāl, ciktāl tas paredz pienākumu sniegt informāciju, neietekmējot pārējo līguma noteikumu spēkā esību;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ziņojošā sabiedrība tieši vai netieši pieprasa aizsargātajai sabiedrībai sniegt informāciju ilgtspējas ziņošanas nolūkā un visa pieprasītā informācija vai tās daļa pārsniedz brīvprātīgajos standartos noteikto informāciju, ziņojošā sabiedrība informē aizsargāto sabiedrību: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par to, kura pieprasītā informācija pārsniedz brīvprātīgajos standartos noteikto informāciju,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par aizsargātās sabiedrības tiesībām atteikties sniegt šādu informāciju;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ziņojošā sabiedrība nav saņēmusi no aizsargātās sabiedrības informāciju, kas pārsniedz brīvprātīgajos standartos noteikto informāciju, uzskatāms, ka ziņojošā sabiedrība ir izpildījusi šajā likumā noteiktās prasības attiecībā uz informācijas sniegšanu par vērtību ķēdi.</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Šā panta otrajā un trešajā daļā noteiktais: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neattiecas uz informācijas pieprasījumiem, kas tiek veikti nolūkos, kuri nav saistīti ar ilgtspējas ziņu sniegšanu saskaņā ar šo likumu, tai skaitā uz pieprasījumiem, kas nepieciešami pienācīgas rūpības pienākumu izpildei saskaņā ar Eiropas Savienības tiesību aktiem;</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nerada pienākumu vērtību ķēdē iesaistītai sabiedrībai sniegt ilgtspējas informāciju, ja šāds pienākums nav noteikts normatīvajos aktos."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5. panta piekto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Šā panta pirmajā daļā noteikto atbrīvojumu piemēro arī sabiedrībai, kura ir sabiedriskas nozīmes struktūra."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6. panta piekto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Šā panta pirmajā daļā noteikto atbrīvojumu piemēro arī sabiedrībai, kura ir sabiedriskas nozīmes struktūra."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"Liela koncerna mātes sabiedrībai" ar vārdiem un skaitļiem "Šā likuma 3. panta pirmās daļas 1. punktā minētajai koncerna mātes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ar teikumu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"Pēc minētā triju gadu pārejas perioda likuma subjekts informāciju par vērtību ķēdi sniedz, pamatojoties uz informāciju, kas tieši iegūta no savas vērtību ķēdes sabiedrībām, vai attiecīgā gadījumā – uz minētās informācijas aplēsēm.";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 Šā panta pirmajā un otrajā daļā minētajā informācijā mātes sabiedrība ir tiesīga neiekļaut:</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izņēmuma gadījumos informāciju, kuras atklāšana nopietni kaitētu koncerna komerciālajam stāvoklim, ja izpildīti šādi nosacījumi:</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nesniegtā informācija neliedz gūt taisnīgu un līdzsvarotu izpratni par koncerna attīstību, darbības rezultātiem un stāvokli vai par tā galvenajiem riskiem vai galveno ietekmi,</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mātes sabiedrība ir konstatējusi, ka nav iespējams atklāt informāciju tādā veidā, kas ļautu sasniegt informācijas atklāšanas prasības mērķus, nopietni nekaitējot koncerna komerciālajam stāvoklim, piemēram, apkopotā veidā,</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mātes sabiedrība atklāj, ka ir izmantojusi šajā daļā noteikto izņēmumu, un katrā ziņojuma sniegšanas datumā atkārtoti izvērtē, vai informāciju joprojām var nesniegt;</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informāciju, kas atbilst intelektuālajam kapitālam, intelektuālajam īpašumam, zinātībai, tehnoloģijām vai inovācijas rezultātiem un ir kvalificējama kā komercnoslēpums saskaņā ar Komercnoslēpuma aizsardzības likumu, ja mātes sabiedrība ziņojumā norāda uz šā izņēmuma piemērošanu un katrā ziņojuma sniegšanas datumā atkārtoti izvērtē, vai informāciju joprojām ir pamats nesniegt;</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klasificētu informāciju Regulas (ES) Nr. 2023/2418 2. panta 7. punkta izpratnē, ja mātes sabiedrība ziņojumā norāda uz šā izņēmuma piemērošanu un katrā ziņojuma sniegšanas datumā atkārtoti izvērtē, vai informāciju joprojām ir pamats nesniegt;</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citu informāciju, kuras aizsardzību pret neatļautu piekļuvi vai atklāšanu paredz citi Eiropas Savienības vai valsts tiesību akti, lai aizsargātu fiziskas personas privātumu vai drošību vai juridiskas personas drošību, ja mātes sabiedrība ziņojumā norāda uz šā izņēmuma piemērošanu un katrā ziņojuma sniegšanas datumā atkārtoti izvērtē, vai informāciju joprojām ir pamats nesniegt.";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trīspadsmito, četrpadsmito, piecpadsmito un sešpadsmito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"(13) Atkāpjoties no šā panta pirmajā daļā noteiktā pienākuma, ja pārskata gada laikā sabiedrību iegādes vai apvienošanās dēļ ir mainījies koncerna sastāvs, mātes sabiedrība konsolidētajā vadības ziņojumā par attiecīgo pārskata gadu var neiekļaut šā panta pirmajā daļā minēto informāciju par iegādātajām vai apvienošanā iesaistītajām sabiedrībām, ja informācijas trūkuma dēļ šādu informāciju nav iespējams sagatavot. Mātes sabiedrība ziņojumā skaidri norāda, par kurām sabiedrībām informācija nav iekļauta.</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Atkāpjoties no šā panta pirmajā daļā noteiktā pienākuma, mātes sabiedrība konsolidētajā vadības ziņojumā var neiekļaut šā panta pirmajā daļā minēto informāciju par jebkuru meitas sabiedrību, kura pārskata gada laikā ir izstājusies no koncerna.</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Mātes sabiedrība, kura izmanto šā panta trīspadsmitajā un četrpadsmitajā daļā noteikto iespēju, konsolidētajā vadības ziņojumā norāda būtiskus notikumus un informāciju par ietekmi, riskiem un iespējām attiecībā uz ilgtspējas jautājumiem, kas radušies pārskata gada laikā saistībā ar attiecīgo meitas sabiedrību izmaiņām koncerna sastāvā.</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Atkāpjoties no šā panta pirmajā daļā noteiktā pienākuma, mātes sabiedrība, kas ir finanšu pārvaldītājsabiedrība un kuras meitas sabiedrību darbības modeļi un darbība ir savstarpēji neatkarīgi, var savā konsolidētajā vadības ziņojumā neiekļaut šā panta pirmajā daļā minēto informāciju."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Ilgtspējas informācijas pieprasīšanas ierobežojumi vērtību ķēdē</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Sabiedrība, kurai saskaņā ar šā likuma 7. pantu ir pienākums sagatavot ilgtspējas ziņojumu (turpmāk – ziņojošā sabiedrība), var paļauties uz vērtību ķēdē iesaistītās sabiedrības pašdeklarāciju (apliecinājumu), lai noteiktu, vai tā ir sabiedrība, kuras vidējais darbinieku skaits bilances datumā nepārsniedz 1 000 pārskata gadā (turpmāk – aizsargātā sabiedrība). Ziņojošajai sabiedrībai nav pienākuma pārbaudīt pašdeklarācijā ietverto informāciju, tomēr ziņojošā sabiedrība nevar paļauties uz pašdeklarāciju, ja tā zina vai tai ir pamatots iemesls uzskatīt, ka pašdeklarācijā ietvertā informācija ir acīmredzami nepareiza.</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Aizsargātajai sabiedrībai ir tiesības atteikties sniegt informāciju, kas pārsniedz brīvprātīgajos standartos noteikto informāciju, ja informācija tiek pieprasīta ilgtspējas ziņu sniegšanas nolūkā.</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Piemērojot šā panta otro daļu: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ziņojošā sabiedrība, noslēdzot līgumus vai citas vienošanās, kas nepieciešamas šajā likumā noteikto ilgtspējas ziņu sniegšanas prasību izpildei, nepieprasa aizsargātajai sabiedrībai sniegt informāciju, kas pārsniedz brīvprātīgajos standartos noteikto informāciju;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līguma noteikums, kas ir pretrunā ar šīs daļas 1. punktu, nav spēkā tiktāl, ciktāl tas paredz pienākumu sniegt šādu informāciju, neietekmējot pārējo līguma noteikumu spēkā esību;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ziņojošā sabiedrība tieši vai netieši pieprasa aizsargātajai sabiedrībai sniegt informāciju ilgtspējas ziņošanas nolūkā un visa pieprasītā informācija vai tās daļa pārsniedz brīvprātīgajos standartos noteikto informāciju, ziņojošā sabiedrība informē aizsargāto sabiedrību: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par to, kura pieprasītā informācija pārsniedz brīvprātīgajos standartos noteikto informāciju,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par aizsargātās sabiedrības tiesībām atteikties sniegt šādu informāciju;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ziņojošā sabiedrība nav saņēmusi no aizsargātās sabiedrības informāciju, kas pārsniedz brīvprātīgajos standartos noteikto informāciju, uzskatāms, ka ziņojošā sabiedrība ir izpildījusi šajā likumā noteiktās prasības attiecībā uz informācijas sniegšanu par vērtību ķēdi.</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Šā panta otrajā un trešajā daļā noteiktais:</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neattiecas uz informācijas pieprasījumiem, kas tiek veikti nolūkos, kuri nav saistīti ar ilgtspējas ziņošanu saskaņā ar šo likumu, tai skaitā uz pieprasījumiem, kas nepieciešami pienācīgas rūpības pienākumu izpildei saskaņā ar Eiropas Savienības tiesību aktiem;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nerada pienākumu vērtību ķēdē iesaistītai sabiedrībai sniegt ilgtspējas informāciju, ja šāds pienākums nav noteikts normatīvajos aktos."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8. panta piekto daļu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Šā panta pirmajā daļā noteikto atbrīvojumu piemēro arī sabiedrībai, kura ir sabiedriskas nozīmes struktūra."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9. panta piekto daļu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Šā panta pirmajā daļā noteikto atbrīvojumu piemēro arī sabiedrībai, kura ir sabiedriskas nozīmes struktūra."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Izteikt 10. panta pirmo daļu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Ilgtspējas ziņojums un arī konsolidētais ilgtspējas ziņojums tiek sagatavots saskaņā ar šā likuma 4. un 7. pantā noteiktajām prasībām atbilstoši ar Eiropas Komisijas deleģētajiem aktiem pieņemtajiem ilgtspējas ziņu sniegšanas standartiem."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Izslēgt 11.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Papildināt likumu ar 11.</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11</w:t>
      </w:r>
      <w:r w:rsidR="00000000" w:rsidRPr="00000000" w:rsidDel="00000000">
        <w:rPr>
          <w:b w:val="1"/>
          <w:vertAlign w:val="superscript"/>
          <w:rtl w:val="0"/>
        </w:rPr>
        <w:t xml:space="preserve">1</w:t>
      </w:r>
      <w:r w:rsidR="00000000" w:rsidRPr="00000000" w:rsidDel="00000000">
        <w:rPr>
          <w:b w:val="1"/>
          <w:rtl w:val="0"/>
        </w:rPr>
        <w:t xml:space="preserve">. pants. Brīvprātīgie </w:t>
      </w:r>
      <w:r w:rsidR="00000000" w:rsidRPr="00000000" w:rsidDel="00000000">
        <w:rPr>
          <w:b w:val="1"/>
          <w:rtl w:val="0"/>
        </w:rPr>
        <w:t xml:space="preserve">ilgtspējas</w:t>
      </w:r>
      <w:r w:rsidR="00000000" w:rsidRPr="00000000" w:rsidDel="00000000">
        <w:rPr>
          <w:b w:val="1"/>
          <w:rtl w:val="0"/>
        </w:rPr>
        <w:t xml:space="preserve"> ziņu sniegšanas standarti</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Aizsargātā sabiedrība sniedz ziņojošajai sabiedrībai ilgtspējas informāciju šajā likumā paredzētajiem nolūkiem, piemērojot brīvprātīgos standartus.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Sabiedrība, kura nav šā likuma subjekts, var sagatavot ilgtspējas informāciju brīvprātīgi, piemērojot brīvprātīgos standartus."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Papildināt 12. panta pirmo un otro daļu ar teikumu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"Kamēr minētajā deleģētajā regulā nav iekļauti noteikumi par ilgtspējas informācijas iezīmēšanu, sabiedrībām nav pienākuma iezīmēt ilgtspējas informāciju."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skaitli "150 000 000" ar skaitli "450 000 000";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Atkāpjoties no šā panta pirmajā daļā noteiktā pienākuma, ja trešajā valstī reģistrētā mātes sabiedrība ir finanšu pārvaldītājsabiedrība, kuras meitas sabiedrības darbības modeļi un darbības ir savstarpēji neatkarīgas, trešās valsts sabiedrības meitas sabiedrība ir tiesīga nolemt nepublicēt un nedarīt pieejamu šā panta pirmajā un trešajā daļā minēto ilgtspējas ziņojumu."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Papildināt 14.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Atkāpjoties no šā panta pirmajā daļā noteiktā pienākuma, ja trešajā valstī reģistrētā mātes sabiedrība ir finanšu pārvaldītājsabiedrība, kuras meitas sabiedrības darbības modeļi un darbības ir savstarpēji neatkarīgas, trešās valsts sabiedrības filiāle ir tiesīga nolemt nepublicēt un nedarīt pieejamu šā panta pirmajā un trešajā daļā minēto ilgtspējas ziņojumu."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16.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2. punktā vārdus un skaitli "iezīmēšanas (marķēšanas) prasību atbilstību šā likuma 12. pantam" ar vārdiem un skaitli "atbilstību prasībai iezīmēt (marķēt) ilgtspējas ziņojumu saskaņā ar šā likuma 12.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daļu šādā redakcijā: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Šā panta prasības piemēro tikai attiecībā uz ilgtspējas ziņojumu vai konsolidēto ilgtspējas ziņojumu, kuru sagatavošana attiecīgajam likuma subjektam ir obligāta saskaņā ar šo likumu."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Papildināt 17. panta pirmo daļu pēc vārda "apliecinājumu" ar vārdiem "ciktāl šīs informācijas iegūšana atbilst šā likuma prasībām, tostarp ierobežojumiem attiecībā uz informācijas iegūšanu no vērtību ķēdes uzņēmumiem".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  un 6. punktu šādā redakcijā: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Lielai sabiedrībai, kura ir sabiedriskas nozīmes struktūra un kuras darbinieku skaits ir lielāks par 500, ir pienākums sagatavot šā likuma 4. pantā minēto ilgtspējas ziņojumu par 2024., 2025. un 2026. pārskata gadu (pārskata gadu, kurš sākas attiecīgi 2024. gada 1. janvārī vai 2024. kalendāra gada laikā, 2025. gada 1. janvārī vai 2025. kalendāra gada laikā un 2026. gada 1. janvārī vai 2026. kalendāra gada laikā).</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Liela koncerna mātes sabiedrībai, kura ir sabiedriskas nozīmes struktūra un kuras darbinieku skaits ir lielāks par 500, ir pienākums sagatavot šā likuma 7. pantā minēto konsolidēto ilgtspējas ziņojumu par 2024., 2025. un 2026. pārskata gadu (pārskata gadu, kurš sākas attiecīgi 2024. gada 1. janvārī vai 2024. kalendāra gada laikā, 2025. gada 1. janvārī vai 2025. kalendāra gada laikā un 2026. gada 1. janvārī vai 2026. kalendāra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7., 8., 9., 10., 11., 12.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16. un 17. punktu šādā redakcijā: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"16. Šā likuma 3. panta pirmās daļas 1. punktā minētajam likuma subjektam ir pienākums sagatavot šā likuma 4. un 7. pantā minēto ilgtspējas ziņojumu, sākot ar 2027. pārskata gadu (pārskata gadu, kurš sākas 2027. gada 1. janvārī vai 2027. kalendāra gada laikā).</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Attiecībā uz pārskata gadu, kurš sākas 2026. gadā, šā likuma 4. un 7. panta prasības var nepiemērot šā likuma pārejas noteikumu 5. un 6. punktā minētā sabiedrība, kuras neto apgrozījums bilances datumā nepārsniedz 450 000 000 </w:t>
      </w:r>
      <w:r w:rsidR="00000000" w:rsidRPr="00000000" w:rsidDel="00000000">
        <w:rPr>
          <w:i w:val="1"/>
          <w:rtl w:val="0"/>
        </w:rPr>
        <w:t xml:space="preserve">euro</w:t>
      </w:r>
      <w:r w:rsidR="00000000" w:rsidRPr="00000000" w:rsidDel="00000000">
        <w:rPr>
          <w:rtl w:val="0"/>
        </w:rPr>
        <w:t xml:space="preserve"> vai kuras vidējais darbinieku skaits pārskata gadā nepārsniedz 1 000."</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Papildināt informatīvo atsauci uz Eiropas Savienības direktīvām ar 3. punktu šādā redakcijā: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Eiropas Parlamenta un Padomes 2026. gada 24. februāra direktīvas (ES) 2026/470, ar ko groza Direktīvas 2006/43/EK, 2013/34/ES, (ES) 2022/2464 un (ES) 2024/1760 attiecībā uz konkrētām korporatīvās ilgtspējas ziņu sniegšanas prasībām un konkrētām korporatīvās ilgtspējas pienācīgas rūpības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26-TA-1510</w:t>
    </w:r>
    <w:r>
      <w:br/>
    </w:r>
    <w:r w:rsidR="00000000" w:rsidRPr="00000000" w:rsidDel="00000000">
      <w:rPr>
        <w:rtl w:val="0"/>
      </w:rPr>
      <w:t xml:space="preserve">Izdrukāts 28.09.2026. 17.40 - 1.0.VK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26-TA-1510</w:t>
    </w:r>
    <w:r>
      <w:br/>
    </w:r>
    <w:r w:rsidR="00000000" w:rsidRPr="00000000" w:rsidDel="00000000">
      <w:rPr>
        <w:rtl w:val="0"/>
      </w:rPr>
      <w:t xml:space="preserve">Izdrukāts 28.09.2026. 17.40 - 1.0.VK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likumprojekts_(grozījumi)_26-TA-1510.docx</dc:title>
</cp:coreProperties>
</file>

<file path=docProps/custom.xml><?xml version="1.0" encoding="utf-8"?>
<Properties xmlns="http://schemas.openxmlformats.org/officeDocument/2006/custom-properties" xmlns:vt="http://schemas.openxmlformats.org/officeDocument/2006/docPropsVTypes"/>
</file>