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567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9. septembrī (prot. Nr. 35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Finanšu ministrijai no valsts budžeta programmas 02.00.00 "Līdzekļi neparedzētiem gadījumiem" piešķirt Viedās administrācijas un reģionālās attīstības ministrijai finansējumu 174 345 </w:t>
      </w:r>
      <w:r w:rsidR="00000000" w:rsidRPr="00000000" w:rsidDel="00000000">
        <w:rPr>
          <w:rStyle w:val="paragraph"/>
          <w:i w:val="1"/>
          <w:rtl w:val="0"/>
        </w:rPr>
        <w:t xml:space="preserve">euro</w:t>
      </w:r>
      <w:r w:rsidR="00000000" w:rsidRPr="00000000" w:rsidDel="00000000">
        <w:rPr>
          <w:rStyle w:val="paragraph"/>
          <w:rtl w:val="0"/>
        </w:rPr>
        <w:t xml:space="preserve"> apmērā pārskaitīšanai pašvaldībām, lai segtu izdevumus, kas saistīti ar 2025. gada vasarā (maijs–jūlijs) ilgstošu un spēcīgu lietavu laikā radīto postījumu novēršanu pašvaldību īpašumā vai valdījumā esošajiem infrastruktūras objektiem, tai skaitā: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novada pašvaldībai – 24 674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novada pašvaldībai – 77 937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novada pašvaldībai – 26 291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novada pašvaldībai – 30 880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novada pašvaldībai – 14 563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Viedās administrācijas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Čudars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25-TA-2005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25-TA-2005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