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infrastruktūras attīstība un energoefektivitātes uzlabošana sabiedriskajos pasažieru pārvadājumos"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infrastruktūras attīstība un energoefektivitātes uzlabošana sabiedriskajos pasažieru pārvadājumos" (turpmāk – pasākums) pirmo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modernizēt dzelzceļa elektrificēto tīklu, paplašināt elektrificēto zonu un paaugstināt pasažieru un vilcienu kustības drošību, pasažieru apkalpošanas kvalitāti un komfortu, kā arī uzlabot dzelzceļa sakaru un informācijas sistēmas, to drošību un veiktspēju atbilstoši Eiropas Savienības standartiem.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jaunu vai modernizētu dzelzceļa sliežu garums TEN-T – 40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jaunas vai modernizētas dzelzceļa stacijas un pieturas, kurās izbūvēti paaugstinātie peroni, – 20 stacijas un pieturas;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jaunuzbūvēto, jaunināto, rekonstruēto vai modernizēto sliežu ceļu lietotāju skaits gadā – 11 189 574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izbūvēto dzelzceļa mobilo 5G sakaru bāzes staciju skaits – 20 bāzes stacijas.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dzelzceļa infrastruktūras lietotāji un ar tiem saistītie citu transporta veidu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Kohēzijas fonda finansējumu pasākuma ietvaros piešķir granta veidā. Maksimālais attiecināmais Kohēzijas fonda finansējums ir ne lielāks par 85 % un valsts budžeta līdzfinansējums –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ir valsts akciju sabiedrība "Latvijas dzelzceļš". Projekta iesniedzējs pēc projekta apstiprināšanas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Pasākumam pieejamais finansējums un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un pieejamais kopējais finansējums ir 118 659 230 </w:t>
      </w:r>
      <w:r w:rsidR="00000000" w:rsidRPr="00000000" w:rsidDel="00000000">
        <w:rPr>
          <w:i w:val="1"/>
          <w:rtl w:val="0"/>
        </w:rPr>
        <w:t xml:space="preserve">euro</w:t>
      </w:r>
      <w:r w:rsidR="00000000" w:rsidRPr="00000000" w:rsidDel="00000000">
        <w:rPr>
          <w:rtl w:val="0"/>
        </w:rPr>
        <w:t xml:space="preserve">, tai skaitā Kohēzijas fonda finansējums – 100 860 345 </w:t>
      </w:r>
      <w:r w:rsidR="00000000" w:rsidRPr="00000000" w:rsidDel="00000000">
        <w:rPr>
          <w:i w:val="1"/>
          <w:rtl w:val="0"/>
        </w:rPr>
        <w:t xml:space="preserve">euro </w:t>
      </w:r>
      <w:r w:rsidR="00000000" w:rsidRPr="00000000" w:rsidDel="00000000">
        <w:rPr>
          <w:rtl w:val="0"/>
        </w:rPr>
        <w:t xml:space="preserve">un valsts budžeta līdzfinansējums – 17 798 885 </w:t>
      </w:r>
      <w:r w:rsidR="00000000" w:rsidRPr="00000000" w:rsidDel="00000000">
        <w:rPr>
          <w:i w:val="1"/>
          <w:rtl w:val="0"/>
        </w:rPr>
        <w:t xml:space="preserve">euro</w:t>
      </w:r>
      <w:r w:rsidR="00000000" w:rsidRPr="00000000" w:rsidDel="00000000">
        <w:rPr>
          <w:rtl w:val="0"/>
        </w:rPr>
        <w:t xml:space="preserve">, no 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vilcienu kustības ātruma palielināšanai plānotais un pieejamais kopējais finansējums – 40 000 000 </w:t>
      </w:r>
      <w:r w:rsidR="00000000" w:rsidRPr="00000000" w:rsidDel="00000000">
        <w:rPr>
          <w:i w:val="1"/>
          <w:rtl w:val="0"/>
        </w:rPr>
        <w:t xml:space="preserve">euro</w:t>
      </w:r>
      <w:r w:rsidR="00000000" w:rsidRPr="00000000" w:rsidDel="00000000">
        <w:rPr>
          <w:rtl w:val="0"/>
        </w:rPr>
        <w:t xml:space="preserve">, tai skaitā Kohēzijas fonda finansējums – 34 000 000 </w:t>
      </w:r>
      <w:r w:rsidR="00000000" w:rsidRPr="00000000" w:rsidDel="00000000">
        <w:rPr>
          <w:i w:val="1"/>
          <w:rtl w:val="0"/>
        </w:rPr>
        <w:t xml:space="preserve">euro </w:t>
      </w:r>
      <w:r w:rsidR="00000000" w:rsidRPr="00000000" w:rsidDel="00000000">
        <w:rPr>
          <w:rtl w:val="0"/>
        </w:rPr>
        <w:t xml:space="preserve">un valsts budžeta līdzfinansējums –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publiskās infrastruktūras (peronu) modernizācijai plānotais un pieejamais kopējais finansējums – 50 659 230 </w:t>
      </w:r>
      <w:r w:rsidR="00000000" w:rsidRPr="00000000" w:rsidDel="00000000">
        <w:rPr>
          <w:i w:val="1"/>
          <w:rtl w:val="0"/>
        </w:rPr>
        <w:t xml:space="preserve">euro</w:t>
      </w:r>
      <w:r w:rsidR="00000000" w:rsidRPr="00000000" w:rsidDel="00000000">
        <w:rPr>
          <w:rtl w:val="0"/>
        </w:rPr>
        <w:t xml:space="preserve">, tai skaitā Kohēzijas fonda finansējums – 43 060 345 </w:t>
      </w:r>
      <w:r w:rsidR="00000000" w:rsidRPr="00000000" w:rsidDel="00000000">
        <w:rPr>
          <w:i w:val="1"/>
          <w:rtl w:val="0"/>
        </w:rPr>
        <w:t xml:space="preserve">euro </w:t>
      </w:r>
      <w:r w:rsidR="00000000" w:rsidRPr="00000000" w:rsidDel="00000000">
        <w:rPr>
          <w:rtl w:val="0"/>
        </w:rPr>
        <w:t xml:space="preserve">un valsts budžeta līdzfinansējums – 7 598 885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sakaru un informācijas sistēmu projektiem plānotais un pieejamais kopējais finansējums – 28 000 000 </w:t>
      </w:r>
      <w:r w:rsidR="00000000" w:rsidRPr="00000000" w:rsidDel="00000000">
        <w:rPr>
          <w:i w:val="1"/>
          <w:rtl w:val="0"/>
        </w:rPr>
        <w:t xml:space="preserve">euro</w:t>
      </w:r>
      <w:r w:rsidR="00000000" w:rsidRPr="00000000" w:rsidDel="00000000">
        <w:rPr>
          <w:rtl w:val="0"/>
        </w:rPr>
        <w:t xml:space="preserve">, tai skaitā Kohēzijas fonda finansējums – 23 800 000 </w:t>
      </w:r>
      <w:r w:rsidR="00000000" w:rsidRPr="00000000" w:rsidDel="00000000">
        <w:rPr>
          <w:i w:val="1"/>
          <w:rtl w:val="0"/>
        </w:rPr>
        <w:t xml:space="preserve">euro </w:t>
      </w:r>
      <w:r w:rsidR="00000000" w:rsidRPr="00000000" w:rsidDel="00000000">
        <w:rPr>
          <w:rtl w:val="0"/>
        </w:rPr>
        <w:t xml:space="preserve">un valsts budžeta līdzfinansējums – 4 200 000 </w:t>
      </w:r>
      <w:r w:rsidR="00000000" w:rsidRPr="00000000" w:rsidDel="00000000">
        <w:rPr>
          <w:i w:val="1"/>
          <w:rtl w:val="0"/>
        </w:rPr>
        <w:t xml:space="preserve">euro</w:t>
      </w:r>
      <w:r w:rsidR="00000000" w:rsidRPr="00000000" w:rsidDel="00000000">
        <w:rPr>
          <w:rtl w:val="0"/>
        </w:rPr>
        <w:t xml:space="preserve">. Šai apakšpunktā minētā finansējuma ietvaros sasniedzams nacionālais rādītājs: izbūvēto dzelzceļa mobilo 5G sakaru bāzes staciju skaits – 20 bāzes stacijas.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Centrālā finanšu un līgumu aģentūra (turpmāk – sadarbības iestāde), saskaņojot to ar atbildīgo iestādi, pasākuma ietvaros var pārdalīt Kohēzijas finansējumu starp projektiem, pārliecinoties, ka netiek ietekmēta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sasniegšana.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atbalstāmās darbības ir dzelzceļa infrastruktūras būvniecība, pārbūve un atjaunošana, kas nodrošina pilnvērtīgu integrēšanos TEN-T tīklā, un energoefektivitātes uzlabošana sabiedriskajos pasažieru pārvadājumos, tai skaitā Eiropas transporta tīklā esošās dzelzceļa infrastruktūras modernizācija un jaunas izveide, dzelzceļa pasažieru infrastruktūras modernizācija, kā arī drošības, dzelzceļa sakaru un informācijas sistēmu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Projektos neiekļauj darbības, kas nav vērstas uz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izmaksu un ieguvumu analīzes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projekta īstenošanas personāla izmaksas, kas radušās uz darba līguma vai uzņēmuma līguma pamata (tostarp normatīvajos aktos noteiktās piemaksas un nodokļi),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kas ietver projektēšanas un būvdarbu izmaksas, pakalpojumu, projektēšanas vai būvdarbu, vai apvienoto projektēšanas un būvdarbu līgumu ietvaros, tai skaitā, bet ne tikai saistītos darbus, saskaņošanas procesu, kā arī ar izmaiņu veikšanu, atkāpju saskaņošanu un ar darbu izpildes laika pagarināšanu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būvuzraudzības, būvekspertīzes, kā arī inženierkonsultanta un būvniecības procesa dalībnieku izmaksas, būvspeciālistu profesionālās civiltiesiskās atbildības apdrošināšanas un būvuzņēmēju civiltiesiskās atbildības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dzelzceļa infrastruktūras izbūves un pārbūves izmaksas, tai skaitā, bet ne tikai: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sliežu ceļu plāna uzlabojumi, pasažieru platformu pārbūve un piekļuves izbūve, pasažieru apkalpošanas infrastruktūras un drošu divlīmeņu šķērsojumu izbūve, piegulošās teritorijas labiekārtošana;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infrastruktūras pārbūve, ja ir sertificēta būvinženiera ekspertīzes atzinums, kurā konstatēts, ka, projekta ietvaros veicot ieguldījumus noteiktās teritorijās, nav iespējams izvairīties no minētās infrastruktūras bojāšanas vai pārbūves;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izbūve, pārbūve un nomaiņa;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vilces jaudas apakšstaciju, kontakttīkla un to infrastruktūras izbūve un ierīkošana;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vilcienu kustības sistēmu un signalizācijas sistēmu izbūve un pārbūve;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videonovērošanas un apziņošanas sistēmu ierīkošana un integrācija esošajā sistēmā;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infrastruktūras modernizācija, pārbūve un izbūve, kas rodas būvprojekta verificēšanas procesā, atbilstoši normatīvajiem aktiem par Eiropas dzelzceļa sistēmu savstarpēju izmantojamību;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kontroles pakalpojumi, kas saistīti ar satiksmes drošības kontroli, infrastruktūras diagnostiku, kontakttīkla pieslēgšanu un atslēgšanu;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būvlaukuma ierīkošana, uzturēšana un demontāža;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atļaujas saņemšanu dzelzceļa apakšsistēmas vai tās daļas nodošanai ekspluatācijā un izbūvētās infrastruktūras reģistrāciju valsts reģistros un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labiekārtošanas izmaksas atbilstoši būvprojekta risinājumam (tai skaitā ēku demontāža);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jomā, tostarp ietekmes uz vidi novērtējums;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īstenošanai nepieciešamās zemes un cita nekustamā īpašuma iegādes izmaksas, nepārsniedzot 10 %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izdevumi, kas radušies pārvadātājam, sniedzot sabiedriskā transporta pakalpojumus reģionālās nozīmes dzelzceļa maršrutos, kuros infrastruktūras izmantošanas ierobežojumu dēļ pārvadājumi ar vilcienu tiek pilnībā vai daļēji aizstāti ar autobusu pārvadājumiem. Pārvadātāja izdevumi tiek aprēķināti, reizinot viena kilometra izmaksas ar faktisko nobraukumu, kuru veic autobuss. Pārvadātāja izdevumi tiek apmaksāti, pamatojoties uz pārvadātāja izrakstīto rēķinu;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izstrādes vai iegādes un ieviešanas izmaksas līdz tās darbības uzsākšanai, infrastruktūras un iekārtu iegādes un uzstādīšanas izmaksas, informācijas sistēmas programmatūras izstrādes vai iegādes un ieviešanas kvalitātes kontroles, tai skaitā vispusīgās testēšanas, izmaksas, audita izmaksas, lietotāju vajadzību analīzes izmaksas, projekta īstenošanai nepieciešamo autortiesību maksājumi;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pasākumu nodrošināšanas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īstenošanas personāla atlīdzības izmaksas, kas radušās uz darba līguma vai uzņēmuma līguma pamata šo noteikumu </w:t>
      </w:r>
      <w:r w:rsidR="00000000" w:rsidRPr="00000000" w:rsidDel="00000000">
        <w:rPr>
          <w:rtl w:val="0"/>
        </w:rPr>
        <w:t xml:space="preserve">14.5.</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minēto darbu veikšanai,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tehnikas izmantošanas un materiālu, tai skaitā būvmateriālu, iegādes izmaksas šo noteikumu </w:t>
      </w:r>
      <w:r w:rsidR="00000000" w:rsidRPr="00000000" w:rsidDel="00000000">
        <w:rPr>
          <w:rtl w:val="0"/>
        </w:rPr>
        <w:t xml:space="preserve">14.5.</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minēto darbu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indeksācijas izmaksas, nepārsniedzot 15 % no attiecīgā būvniecības līguma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14.12.</w:t>
      </w:r>
      <w:r w:rsidR="00000000" w:rsidRPr="00000000" w:rsidDel="00000000">
        <w:rPr>
          <w:rtl w:val="0"/>
        </w:rPr>
        <w:t xml:space="preserve">, </w:t>
      </w:r>
      <w:r w:rsidR="00000000" w:rsidRPr="00000000" w:rsidDel="00000000">
        <w:rPr>
          <w:rtl w:val="0"/>
        </w:rPr>
        <w:t xml:space="preserve">14.14.</w:t>
      </w:r>
      <w:r w:rsidR="00000000" w:rsidRPr="00000000" w:rsidDel="00000000">
        <w:rPr>
          <w:rtl w:val="0"/>
        </w:rPr>
        <w:t xml:space="preserve"> un </w:t>
      </w:r>
      <w:r w:rsidR="00000000" w:rsidRPr="00000000" w:rsidDel="00000000">
        <w:rPr>
          <w:rtl w:val="0"/>
        </w:rPr>
        <w:t xml:space="preserve">14.15.</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attiecināmās izmaksas par finansējuma saņēmēja paša veiktajiem darbiem ir iespējams attiecināt, ja ir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atbilstoši normatīvajiem aktiem būvniecības jomā ir reģistrēts Būvniecības informācijas sistēmā kā būvkomersants attiecīgajā specialitātē un darbības sfērā, kurā veikti attiecīgie darbi, un darbu veicēji ir sertificēti atbilstoši normatīvajiem aktiem būvniecības jomā attiecīgajā darbības sfērā, ja to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veicēji ir finansējuma saņēmēja speciālisti, tostarp tādi, kuri ir sertificēti attiecīgajā darbības sfērā, ja to paredz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veikšanai netiek piesaistīti apakšuzņēmēji, papildus neizslēdzot iepirkumu veikšanu visu pārējo darbu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saņēmējam, ievērojot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minētos nosacījumus, ir jānovērš dubultfinansējuma risks, tostarp vienus un tos pašus darbus neparedzot finansēt gan iepirkuma, gan projekta īstenošanas personāla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 apmērā no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minētajām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Neparedzētie izdevumi nepārsniedz 5 % no projekta kopējām tiešajām attiecināmajām izmaksām. Finansējuma saņēmējs saskaņo neparedzēto izdevumu izlietošanu ar sadarbības iestādi pirms izdevumu veikšanas.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shd w:fill="#ffffff" w:val="clear"/>
          <w:rtl w:val="0"/>
        </w:rPr>
        <w:t xml:space="preserve"> </w:t>
      </w:r>
      <w:r w:rsidR="00000000" w:rsidRPr="00000000" w:rsidDel="00000000">
        <w:rPr>
          <w:rtl w:val="0"/>
        </w:rPr>
        <w:t xml:space="preserve">(turpmāk – regula Nr. 2021/1060), 64. panta 1. punkta "c" apakšpunkta</w:t>
      </w:r>
      <w:r w:rsidR="00000000" w:rsidRPr="00000000" w:rsidDel="00000000">
        <w:rPr>
          <w:rtl w:val="0"/>
        </w:rPr>
        <w:t xml:space="preserve">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 vides prasību integrācija būvdarbu iepirkumos (zaļais publiskais iepirkums), vides un informācijas piekļūstamības nodrošināšana atbilstoši būvprojekta risinājumam un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atbalstāmo darbību ietvaros radušās izmaksas var uzskatīt par attiecināmām finansēšanai no Kohēzijas fonda, ja tās atbilst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attiecināmajām izmaksām un šo noteikumu </w:t>
      </w:r>
      <w:r w:rsidR="00000000" w:rsidRPr="00000000" w:rsidDel="00000000">
        <w:rPr>
          <w:rtl w:val="0"/>
        </w:rPr>
        <w:t xml:space="preserve">14.16. </w:t>
      </w:r>
      <w:r w:rsidR="00000000" w:rsidRPr="00000000" w:rsidDel="00000000">
        <w:rPr>
          <w:rtl w:val="0"/>
        </w:rPr>
        <w:t xml:space="preserve">apakšpunktā</w:t>
      </w:r>
      <w:r w:rsidR="00000000" w:rsidRPr="00000000" w:rsidDel="00000000">
        <w:rPr>
          <w:shd w:fill="#ffffff" w:val="clea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 Pasākuma ietvaros nedrīkst attiecināt darbības, kas ir jau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iestāde trīs mēnešu laikā pēc šo noteikumu stāšanās spēkā izsludina projektu iesniegumu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ir atbildīgs par projekta īstenošanu, mērķu sasniegšanu, izdevumu attiecināmību, kā arī par maksājumu veikšanu un iepirkuma procedūrām, tai skaitā novērš dubultā finansējuma risku un nodrošina demarkāciju ar citiem līdzīgiem vai saistītiem pasākumiem.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projektu īsteno saskaņā ar noslēgtajā līgumā par projekta īstenošanu noteikto termiņu,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saņēmējam ir pienākums: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principu "Vienlīdzība, iekļaušana, nediskriminācija un pamattiesību ievērošana" un uzkrāt datus par projekta ietekmi uz horizontālā principa rādītāju "Objektu skaits, kuros Kohēzijas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projekta ietekmi uz horizontālo principu rādītājiem (ja attiecināms) un ievērot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sasniegto rezultātu ilgtspēju piecus gadus pēc projekta pabeigšanas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komunikācijas un vizuālās identitātes pasākumus saskaņā ar regulas Nr. 2021/1060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ka infrastruktūras objekts, kurā plānots veikt ieguldījumus, ir finansējuma saņēmēja īpašumā un tiesības uz konkrēto objektu vai īpašumu ir nostiprinātas valsts vienotajā datorizētajā zemesgrāmatā vai arī infrastruktūras objekts tiesību aktos noteiktajā kārtībā nodots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ja šāda iepirkuma procedūra nav veikta un līgums nav noslēgts.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ievērojot principa "nenodarīt būtisku kaitējumu"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un dzelzceļa infrastruktūras attīstība neizraisa tūlītēju vai nākotnē iespējamu negatīvu klimata ietekmi uz projektu, cilvēkiem, dabu vai aktīviem, tai skaitā uz infrastruktūru, kā arī nerada negatīvu ietekmi uz pielāgošanos klimata pārmaiņām;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laikā tiek nodrošināts, ka netiek radīta būtiska negatīva ietekme uz ūdens resursiem, aprites ekonomikas principu ievērošanu, vides piesārņojuma novēršanu, kā arī bioloģiskās daudzveidības un ekosistēmu saglabāšanu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atbilst spējai to izlietot sešu mēnešu laikā saimnieciskā gada ietvaros. Finansējuma saņēmējam avansu var piešķirt līdz 100 % no projektam piešķirtā Kohēzijas fonda finansējuma un, ja tas ir paredzēts projektā, valsts budžeta līdzfinansējuma kopsummas, ievērojot, ka avansu var izmaksāt vairākos maksājumos un avansa un starpposma maksājumu kopsumma nepārsniedz 100 % no projektam piešķirtā Kohēzijas fonda finansējuma un valsts budžeta līdzfinansējuma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25-TA-1507</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25-TA-1507</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noteikumu_projekts_25-TA-1507.docx</dc:title>
</cp:coreProperties>
</file>

<file path=docProps/custom.xml><?xml version="1.0" encoding="utf-8"?>
<Properties xmlns="http://schemas.openxmlformats.org/officeDocument/2006/custom-properties" xmlns:vt="http://schemas.openxmlformats.org/officeDocument/2006/docPropsVTypes"/>
</file>