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svaigpienam, pienam un piena produktiem, liellopu gaļai, cūkgaļai, kazu, aitu un trušu gaļai un tās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 MK 26.09.2017. noteikumiem Nr. 585; MK 24.03.2021. noteikumiem Nr. 185)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Prasības dzīvnieku 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Dzīvniekus nodrošina ar pilnvērtīgu, vecumam, sugai un produktivitātes virzienam atbilstošu barību. Kontroli veic dienests saskaņā ar Ministru kabineta 2014. gada 12. augusta noteikumu Nr. 461 "Prasības pārtikas kvalitātes shēmām, to ieviešanas, darbības, uzraudzības un kontroles kārtība" (turpmāk – noteikumi) 22. punkta prasībām, ja produktu marķē ar noteikumu 5. pielikuma II nodaļā minēto shēmas norādi.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svaigpienam, pienam un piena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Svaigpiena kvalitātes kontroli veic operators vismaz reizi mēnesī. Svaigpiens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govs svaigpiena sasalšanas temperatūra nepārsniedz –0,520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kazas svaigpiena sasalšanas temperatūra nepārsniedz –0,540 ºC;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govs svaigpiena skābums 15 līdz 18 ºT;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kazas svaigpiena skābums 14 līdz 18 ºT.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pārstrādes procesā ražotu produktu (turpmāk – piena produkti) sastāvā aizliegts izmantot augu izcelsmes eļļas un taukus, daļēji vai pilnīgi aizstājot piena taukus piena produktos. Operators produkta ražošanas procesu un tajā izmantotās izejvielas norāda tehniskajā specifikācijā.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Siera ražošanā aizliegts izmantot nitrātus (NaNO</w:t>
      </w:r>
      <w:r w:rsidR="00000000" w:rsidRPr="00000000" w:rsidDel="00000000">
        <w:rPr>
          <w:vertAlign w:val="subscript"/>
          <w:rtl w:val="0"/>
        </w:rPr>
        <w:t xml:space="preserve">3</w:t>
      </w:r>
      <w:r w:rsidR="00000000" w:rsidRPr="00000000" w:rsidDel="00000000">
        <w:rPr>
          <w:rtl w:val="0"/>
        </w:rPr>
        <w:t xml:space="preserve"> vai KNO</w:t>
      </w:r>
      <w:r w:rsidR="00000000" w:rsidRPr="00000000" w:rsidDel="00000000">
        <w:rPr>
          <w:vertAlign w:val="subscript"/>
          <w:rtl w:val="0"/>
        </w:rPr>
        <w:t xml:space="preserve">3</w:t>
      </w:r>
      <w:r w:rsidR="00000000" w:rsidRPr="00000000" w:rsidDel="00000000">
        <w:rPr>
          <w:rtl w:val="0"/>
        </w:rPr>
        <w:t xml:space="preserve">), lai nomāktu gāzes radošo mikroorganismu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Pienu un piena produktus novērtē sensori atbilstoši standartam LVS 354:2002 "Piena un piena produktu sensorā novērtēšana ar punktu metodi". Neviena rādītāja vērtējums nedrīkst būt zemāks par 4 punktiem (5 punktu vērtēšanas sistēmā). Vērtē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ārējo izskatu (tajā skaitā ūdens dispersijas pakāpi sviestam);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konsistenci;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garšu un smaržu;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izskatu griezumā – sieram.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Piena un piena produktu laboratoriskos izmeklējumus, lai noteiktu atbilstību  nekaitīguma kritērijiem atbilstoši Komisijas Regulas (EK) Nr. 2073/2005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vertAlign w:val="superscript"/>
          <w:rtl w:val="0"/>
        </w:rPr>
        <w:t xml:space="preserve">1</w:t>
      </w:r>
      <w:r w:rsidR="00000000" w:rsidRPr="00000000" w:rsidDel="00000000">
        <w:rPr>
          <w:b w:val="1"/>
          <w:rtl w:val="0"/>
        </w:rPr>
        <w:t xml:space="preserve">. Prasības liellopu, cūku, kazu, aitu un trušu liemeņiem, sadalītajai gaļai un subproduktiem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Liellopu, kazu, aitu, cūku un trušu pārvadāšanas ilgums līdz kautuvei nepārsniedz sešas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Liemeņus un attiecīgo dzīvnieku subproduktus marķē ar šo noteikumu 5. pielikuma II nodaļā minēto norādi, ja dzīvnieki kaušanas brīdī nav vecāki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2 </w:t>
      </w:r>
      <w:r w:rsidR="00000000" w:rsidRPr="00000000" w:rsidDel="00000000">
        <w:rPr>
          <w:rtl w:val="0"/>
        </w:rPr>
        <w:t xml:space="preserve">1.  30 mēnešiem – kastrēti vīriešu kārtas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2 </w:t>
      </w:r>
      <w:r w:rsidR="00000000" w:rsidRPr="00000000" w:rsidDel="00000000">
        <w:rPr>
          <w:rtl w:val="0"/>
        </w:rPr>
        <w:t xml:space="preserve">2.  24 mēnešiem – liellopi, kas nav minēti šā pielikuma 6.</w:t>
      </w:r>
      <w:r w:rsidR="00000000" w:rsidRPr="00000000" w:rsidDel="00000000">
        <w:rPr>
          <w:vertAlign w:val="superscript"/>
          <w:rtl w:val="0"/>
        </w:rPr>
        <w:t xml:space="preserve">2 </w:t>
      </w:r>
      <w:r w:rsidR="00000000" w:rsidRPr="00000000" w:rsidDel="00000000">
        <w:rPr>
          <w:rtl w:val="0"/>
        </w:rPr>
        <w:t xml:space="preserve">1.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2 </w:t>
      </w:r>
      <w:r w:rsidR="00000000" w:rsidRPr="00000000" w:rsidDel="00000000">
        <w:rPr>
          <w:rtl w:val="0"/>
        </w:rPr>
        <w:t xml:space="preserve">3. trim mēnešiem – truši.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Liellopu liemeni un sadalīto gaļu marķē ar šo noteikumu 5. pielikuma II nodaļā minēto norādi, ja liemenis saskaņā ar normatīvajiem aktiem par dzīvnieku liemeņu klasifikāciju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3 </w:t>
      </w:r>
      <w:r w:rsidR="00000000" w:rsidRPr="00000000" w:rsidDel="00000000">
        <w:rPr>
          <w:rtl w:val="0"/>
        </w:rPr>
        <w:t xml:space="preserve">1. pēc uzbūves jeb muskuļaudu novērtējuma – E, U, R vai O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3 </w:t>
      </w:r>
      <w:r w:rsidR="00000000" w:rsidRPr="00000000" w:rsidDel="00000000">
        <w:rPr>
          <w:rtl w:val="0"/>
        </w:rPr>
        <w:t xml:space="preserve">2. pēc taukaudu slāņa pakāpes – 2.–3.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Cūkas liemeni un sadalītu gaļu marķē ar šo noteikumu 5. pielikuma II nodaļā minēto norādi, ja saskaņā ar normatīvajiem aktiem par dzīvnieku liemeņu klasifikāciju cūka pēc muskuļaudu daudzuma atbilst S vai E klasei vai operators ir norādījis tās atbilstību šādiem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4 </w:t>
      </w:r>
      <w:r w:rsidR="00000000" w:rsidRPr="00000000" w:rsidDel="00000000">
        <w:rPr>
          <w:rtl w:val="0"/>
        </w:rPr>
        <w:t xml:space="preserve">1. nobarojamā cūka (kaušanas vecums pieci līdz septiņi mēneši) un dzīvnieka kārta. Kautuves īpašnieks vai viņa pilnvarotā persona (turpmāk – kautuves pārstāvis) to norāda pavaddokumentā dzīvnieku pārvietošanai uz kautuvi,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4 </w:t>
      </w:r>
      <w:r w:rsidR="00000000" w:rsidRPr="00000000" w:rsidDel="00000000">
        <w:rPr>
          <w:rtl w:val="0"/>
        </w:rPr>
        <w:t xml:space="preserve">2. dzīvnieka kautsvars ir 70–92 kg. Kautuves pārstāvis to norāda informācijā par kautuvē nokauto lauksaimniecības dzīvnieku,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4 </w:t>
      </w:r>
      <w:r w:rsidR="00000000" w:rsidRPr="00000000" w:rsidDel="00000000">
        <w:rPr>
          <w:rtl w:val="0"/>
        </w:rPr>
        <w:t xml:space="preserve">3. vīriešu kārtas dzīvniekiem nav veikta kastrācija, izmantojot imunovakcināciju – kastrāciju ar veterinārajām zālēm, kas satur vielas ar hormonālu iedarbību. Kautuves pārstāvis to norāda pavaddokumentā dzīvnieku pārvietošanai uz kautuvi, izmantojot elektroniskās paziņošanas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Liemeni un sadalītu gaļu marķē ar šo noteikumu 5. pielikuma III nodaļā minēto norādi, ja dzīvnieks audzēts vienā Eiropas Savienības dalībvalstī vai reģionā, bet kauts un sadalīts citā Eiropas Savienības dalībvalstī vai reģionā un dzīvnieka liemenis atbilst: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5 </w:t>
      </w:r>
      <w:r w:rsidR="00000000" w:rsidRPr="00000000" w:rsidDel="00000000">
        <w:rPr>
          <w:rtl w:val="0"/>
        </w:rPr>
        <w:t xml:space="preserve">1. šo noteikumu 6.</w:t>
      </w:r>
      <w:r w:rsidR="00000000" w:rsidRPr="00000000" w:rsidDel="00000000">
        <w:rPr>
          <w:vertAlign w:val="superscript"/>
          <w:rtl w:val="0"/>
        </w:rPr>
        <w:t xml:space="preserve">3 </w:t>
      </w:r>
      <w:r w:rsidR="00000000" w:rsidRPr="00000000" w:rsidDel="00000000">
        <w:rPr>
          <w:rtl w:val="0"/>
        </w:rPr>
        <w:t xml:space="preserve">1. un 6.</w:t>
      </w:r>
      <w:r w:rsidR="00000000" w:rsidRPr="00000000" w:rsidDel="00000000">
        <w:rPr>
          <w:vertAlign w:val="superscript"/>
          <w:rtl w:val="0"/>
        </w:rPr>
        <w:t xml:space="preserve">3 </w:t>
      </w:r>
      <w:r w:rsidR="00000000" w:rsidRPr="00000000" w:rsidDel="00000000">
        <w:rPr>
          <w:rtl w:val="0"/>
        </w:rPr>
        <w:t xml:space="preserve">2. apakšpunktā minētajām prasībām – liellops;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5 </w:t>
      </w:r>
      <w:r w:rsidR="00000000" w:rsidRPr="00000000" w:rsidDel="00000000">
        <w:rPr>
          <w:rtl w:val="0"/>
        </w:rPr>
        <w:t xml:space="preserve">2. S vai E klasei pēc muskuļaudu daudzuma saskaņā ar normatīvajiem aktiem par dzīvnieku liemeņu klasifikāciju – cūka.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Liemeņu marķēšanā izmanto zīmogu ar šo noteikumu 5. pielikumā minēto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Pirms realizācijas no kautuves liemeņu dziļajā muskulatūrā pH līmenis ir 5,4–5,8.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Liellopu liemeņus nav atļauts apstrādāt ar pienskābi.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9</w:t>
      </w:r>
      <w:r w:rsidR="00000000" w:rsidRPr="00000000" w:rsidDel="00000000">
        <w:rPr>
          <w:rtl w:val="0"/>
        </w:rPr>
        <w:t xml:space="preserve"> Subprodukti iegūti no dzīvniekiem, kuri atbilst šā pielikuma II</w:t>
      </w:r>
      <w:r w:rsidR="00000000" w:rsidRPr="00000000" w:rsidDel="00000000">
        <w:rPr>
          <w:vertAlign w:val="superscript"/>
          <w:rtl w:val="0"/>
        </w:rPr>
        <w:t xml:space="preserve">1 </w:t>
      </w:r>
      <w:r w:rsidR="00000000" w:rsidRPr="00000000" w:rsidDel="00000000">
        <w:rPr>
          <w:rtl w:val="0"/>
        </w:rPr>
        <w:t xml:space="preserve">nodaļā minētajām  prasībām.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liellopu, cūku, kazu, aitu un trušu maltajai gaļai, gaļas izstrādājumiem un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Liellopu, kazu, aitu, cūku un trušu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saldētu un atkausētu gaļu (izņemot gadījumu, ja desu ražošanas tehnoloģiskais process paredz gaļu sasaldēt ražošanas vietā līdz –18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mehāniski atdalītu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pārtikas piedevas uzglabāšanas laika pagarināšanai, ārējā izskata uzlabošanai, garšas un smaržas pastiprināšanai (E620 līdz E640)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Maltās gaļas un tādu gaļas izstrādājumu ražošanā, kuri nav paredzēti lietošanai pārtikā bez termiskās apstrādes, nedrīkst izmantot gaļas atgriezumus.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Gaļas sastāvā esošo tauku un saistaudu saturs nepārsniedz Eiropas Parlamenta un Padomes 2011. gada 25. oktobra Regulas (ES) Nr. 1169/2011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(turpmāk – Regula Nr. 1169/2011) VII pielikuma B daļas 17. punktā noteikto daudzumu, ko operators reizi gadā nosaka akreditētā laboratorijā, un gaļas produkcijā – desās, konservos, gaļas izstrādājumos – ir vismaz 70 procentu gaļas bez 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Pievienotais sāls saturs 100 g gaļas produktu un to izstrādājumu nepārsniedz 1,25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Operators organizē darbu (piemēram, izveidojot degustācijas komisiju) tā, lai katrā partijā tiktu novērtētas gaļas produktu organoleptiskās īpašības un to rādītāji atbilst šā pielikuma 1.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Gaļas produktu organoleptiskie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1856"/>
        <w:gridCol w:w="4634"/>
        <w:tblGridChange w:id="0">
          <w:tblGrid>
            <w:gridCol w:w="514"/>
            <w:gridCol w:w="2335"/>
            <w:gridCol w:w="1856"/>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kūpinājumi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 tīra, sausa, bez gaļas un speķa izrāvumiem, produkta masai nepiegulošiem audiem, vienmērīgi nokūpināta no gaiši brūnas līdz brūnai krāsai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izskats griezumā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muskuļaudi vienmērīga krāsojuma, bez pelēkiem plankumiem, taukaudi baltā krāsā vai ar sārtu nokrāsu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mēreni sāļa, raksturīga izmantotajām izejvielām, ar garšvielu un dūmu aromātu, bez neraksturīgas garšas un smakas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Vārītās desas, tostarp cīsiņi un sardeles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desu virsma tīra, apvalks nebojāts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sāļa ar izteiktu garšvielu aromātu un garšu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Pusžāvētās, auksti kūpinātās desas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desu virsma tīra un sausa, apvalks nebojāts, bez salipumiem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blīva, elastīga, bez redzamiem saistaudiem, speķis vienmērīgi izkliedēts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pildījuma masas izskats griezumā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pildījuma masa vienmērīgi sajaukta un satur attiecīga lieluma sasmalcinātus speķa gabaliņus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tauki balti vai ar sārtu nokrāsu, aromātiskā kūpinājuma un garšvielu smarža, garša mēreni sāļa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Mitruma saturs gatavajā produktā nepārsniedz: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vārītajās desās, tostarp cīsiņos un sardelēs, –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pusžāvētajās desās – 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auksti kūpinātajās desās –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liellopu un cūkgaļas produktos – 75 %.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Šo noteikumu 11.1., 11.2. un 11.3. apakšpunktā minētie produkti ir tikai dabīgā vai ēdamā kolagēna apvalkā vai bez apvalka. Ēdamais kolagēna apvalks nedrīkst saturēt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Gaļas produktu kūpināšanas procesā izmanto tikai lapu koku koksni, neizmantojot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Kūpināto gaļu un kūpinātas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kūpinātā gaļā un kūpinātas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tradicionāli kūpinātā gaļā un kūpinātas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Gaļas produkcijas laboratoriskos izmeklējumus, lai noteiktu atbilstību  nekaitīguma kritērijiem atbilstoši Komisijas Regulas (EK) Nr. 2073/2005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Gaļas konservus ražo atbilstoši starptautiskajam standartam CAC/RCP 23-1979 "Starptautiskais higiēnas prakses kodekss zema skābes satura un paskābinātiem pārtikas konserviem".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Gaļas konservu kvalitātes pārbaudi veic akreditētā testēšanas laboratorijā ne retāk kā reizi gadā, un to kvalitāte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Sterilizēto gaļas konservu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2622"/>
        <w:gridCol w:w="4347"/>
        <w:tblGridChange w:id="0">
          <w:tblGrid>
            <w:gridCol w:w="514"/>
            <w:gridCol w:w="1856"/>
            <w:gridCol w:w="2622"/>
            <w:gridCol w:w="43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Sterilizēti konservi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sporas neveidojošie mikroorganismi,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sporas veidojošie termofilie anaerobie, aerobie un fakultatīvi anaerobie mikroorganismi,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Sterilizēto konservu organoleptiskie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saskatāmi gaļas gabaliņi, bez nevēlamiem piemaisījumiem, raksturīgs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termiski apstrādātai gaļai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raksturīga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patīkama, raksturīga attiecīgajam produkta veidam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noteikumu_konsolidētā_versija_p6_21-TA-1529.docx</dc:title>
</cp:coreProperties>
</file>

<file path=docProps/custom.xml><?xml version="1.0" encoding="utf-8"?>
<Properties xmlns="http://schemas.openxmlformats.org/officeDocument/2006/custom-properties" xmlns:vt="http://schemas.openxmlformats.org/officeDocument/2006/docPropsVTypes"/>
</file>