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21. maijā (prot. Nr. 28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16. jūlija rīkojumā Nr. 602 "Par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16. jūlija rīkojumā Nr. 602 "Par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 (Latvijas Vēstnesis, 2024, 139.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ne vairāk kā 5 117 046,00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4 280 000,00 </w:t>
      </w:r>
      <w:r w:rsidR="00000000" w:rsidRPr="00000000" w:rsidDel="00000000">
        <w:rPr>
          <w:i w:val="1"/>
          <w:rtl w:val="0"/>
        </w:rPr>
        <w:t xml:space="preserve">euro </w:t>
      </w:r>
      <w:r w:rsidR="00000000" w:rsidRPr="00000000" w:rsidDel="00000000">
        <w:rPr>
          <w:rtl w:val="0"/>
        </w:rPr>
        <w:t xml:space="preserve">apmērā (bez pievienotās vērtības nodokļa) un valsts budžeta finansējumu pievienotās vērtības nodokļa segšanai ne vairāk kā 837 046,00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Viedās administrācijas un reģionālās attīstības ministrijai uzaicināt finansējuma saņēmēju – Izglītības un zinātnes ministriju – iesniegt projekta iesniegumu Eiropas Savienības Atveseļošanas un noturības mehānisma plāna 2. komponentes "Digitālā transformācija" 2.1. reformu un investīciju virziena "Valsts pārvaldes, t. sk. pašvaldību, digitālā transformācija" investīcijas 2.1.2.1.i.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26-TA-283</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26-TA-283</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rīkojuma_(grozījumu)_projekts_26-TA-283.docx</dc:title>
</cp:coreProperties>
</file>

<file path=docProps/custom.xml><?xml version="1.0" encoding="utf-8"?>
<Properties xmlns="http://schemas.openxmlformats.org/officeDocument/2006/custom-properties" xmlns:vt="http://schemas.openxmlformats.org/officeDocument/2006/docPropsVTypes"/>
</file>