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oktobrī (prot. Nr. 43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Finanšu ministrijai (Valsts ieņēmumu dienestam) nodot Ukrainai (Ukrainas Aizsardzības ministrijas armijas daļām, Mikolajivas apgabala Pervomajskas rajona Arbuzinkas ciema padomei, Ļvivas apgabala Sokolnicas ciema padomei)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"Kārtība, kādā valsts kustamo mantu nodod bez atlīdzības ārvalstu valdību un starpvalstu organizāciju īpašumā"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25-TA-2325</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25-TA-2325</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rīkojuma_projekts_25-TA-2325.docx</dc:title>
</cp:coreProperties>
</file>

<file path=docProps/custom.xml><?xml version="1.0" encoding="utf-8"?>
<Properties xmlns="http://schemas.openxmlformats.org/officeDocument/2006/custom-properties" xmlns:vt="http://schemas.openxmlformats.org/officeDocument/2006/docPropsVTypes"/>
</file>