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2017. gada 30. maija noteikumos Nr. 295 "Noteikumi par transportlīdzekļu valsts tehnisko apskati un tehnisko kontroli uz ceļa"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br/>
      </w:r>
      <w:r w:rsidR="00000000" w:rsidRPr="00000000" w:rsidDel="00000000">
        <w:rPr>
          <w:rStyle w:val="paragraph"/>
          <w:i w:val="1"/>
          <w:rtl w:val="0"/>
        </w:rPr>
        <w:t xml:space="preserve">16.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30. maija noteikumos Nr. 295 "Noteikumi par transportlīdzekļu valsts tehnisko apskati un tehnisko kontroli uz ceļa" (Latvijas Vēstnesis, 2017, 147. nr.; 2018, 140. nr.; 2019, 67., 216. nr.; 2021, 13., 189.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99.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 Šo noteikumu 1. pielikuma II sadaļas 6.1.3. koda A7 daļas trešajā rindkopā ietvertās prasības par transportlīdzekļu saspiestas dabas gāzes balonu periodisku pārbaudi atbilstošā inspicēšanas institūcijā, kā arī šo noteikumu 1. pielikuma II sadaļas 6.1.3. koda B daļas tabulas "B. Prasību izpildes vērtēšanas kritēriji un novērtējumi" vērtēšanas kritērijā B7 ietvertās prasības par saspiestas dabas gāzes balona periodiskās pārbaudes apliecinājumu transportlīdzekļu reģistrā ir piemērojamas, sākot ar 2023.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22-TA-64</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22-TA-64</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noteikumu_(grozījumu)_projekts_22-TA-64.docx</dc:title>
</cp:coreProperties>
</file>

<file path=docProps/custom.xml><?xml version="1.0" encoding="utf-8"?>
<Properties xmlns="http://schemas.openxmlformats.org/officeDocument/2006/custom-properties" xmlns:vt="http://schemas.openxmlformats.org/officeDocument/2006/docPropsVTypes"/>
</file>