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nekustamo īpašumu Kaļķu ielā 15, Daugavpilī, pārdošanu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 pirmo daļu atļaut valsts akciju sabiedrībai "Valsts nekustamie īpašumi" pārdot izsolē kopā, ievērojot </w:t>
      </w:r>
      <w:r w:rsidR="00000000" w:rsidRPr="00000000" w:rsidDel="00000000">
        <w:rPr>
          <w:rtl w:val="0"/>
        </w:rPr>
        <w:t xml:space="preserve">Publiskas personas mantas atsavināšanas likuma 14. panta</w:t>
      </w:r>
      <w:r w:rsidR="00000000" w:rsidRPr="00000000" w:rsidDel="00000000">
        <w:rPr>
          <w:rtl w:val="0"/>
        </w:rPr>
        <w:t xml:space="preserve"> nosacījumus, šādus valsts nekustamos īpašumus: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(nekustamā īpašuma kadastra Nr. 0500 014 2113) – zemes vienību (zemes vienības kadastra apzīmējums 0500 014 2113) 0,0327 ha platībā un divas būves (būvju kadastra apzīmējumi 0500 014 2113 002 un 0500 014 2113 005) – Kaļķu ielā 15, Daugavpilī, kas ierakstīts zemesgrāmatā uz valsts vārda Finanšu ministrijas personā, kopā ar būvi (būves kadastra apzīmējums 0500 014 2113 004);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(nekustamā īpašuma kadastra Nr. 0500 514 0070) – būvi (būves kadastra apzīmējums 0500 014 2101 001) – Kaļķu ielā 15, Daugavpilī, kas ierakstīts zemesgrāmatā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 par nekustamajiem īpašumiem maksā </w:t>
      </w:r>
      <w:r w:rsidR="00000000" w:rsidRPr="00000000" w:rsidDel="00000000">
        <w:rPr>
          <w:i w:val="1"/>
          <w:rtl w:val="0"/>
        </w:rPr>
        <w:t xml:space="preserve">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pircējam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minētos nekustamos īpašumus 30 dienu laikā no pirkuma līguma noslēgšanas dienas, sastādot attiecīgus pieņemšanas un nodošanas aktus.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26-TA-1855</w:t>
    </w:r>
    <w:r>
      <w:br/>
    </w:r>
    <w:r w:rsidR="00000000" w:rsidRPr="00000000" w:rsidDel="00000000">
      <w:rPr>
        <w:rtl w:val="0"/>
      </w:rPr>
      <w:t xml:space="preserve">Izdrukāts 08.09.2026. 15.17 - 1.0.VK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26-TA-1855</w:t>
    </w:r>
    <w:r>
      <w:br/>
    </w:r>
    <w:r w:rsidR="00000000" w:rsidRPr="00000000" w:rsidDel="00000000">
      <w:rPr>
        <w:rtl w:val="0"/>
      </w:rPr>
      <w:t xml:space="preserve">Izdrukāts 08.09.2026. 15.17 - 1.0.VK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