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81.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Mihailu Papsujeviču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civildienesta likuma 11. panta trešo daļu un 37. panta pirmo un trešo daļu labas pārvaldības nodrošināšanai valsts interesēs, kā arī ņemot vērā tieslietu ministra norādīto pārcelšanas lietderības pamatojumu, Mihaila Papsujeviča atbilstību Tieslietu ministrijas valsts sekretāra amata aprakstā izvirzītajām prasībām, Valsts probācijas dienesta vadītāja M. Papsujeviča piekrišanu pārcelšanai, apstiprināt M. Papsujeviča kandidatūru pārcelšanai Tieslietu ministrijas valsts sekretāra amatā ar 2022.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21-TA-1690</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21-TA-1690</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rīkojuma_projekts_21-TA-1690.docx</dc:title>
</cp:coreProperties>
</file>

<file path=docProps/custom.xml><?xml version="1.0" encoding="utf-8"?>
<Properties xmlns="http://schemas.openxmlformats.org/officeDocument/2006/custom-properties" xmlns:vt="http://schemas.openxmlformats.org/officeDocument/2006/docPropsVTypes"/>
</file>