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2013. gada 17. decembra noteikumos Nr. 1507 "Kārtība, kādā atmaksā pievienotās vērtības nodokli trešās valsts vai trešās teritorijas reģistrētam nodokļa maksātājam"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Pievienotās vērtības nodokļa likuma</w:t>
      </w:r>
      <w:r>
        <w:br/>
      </w:r>
      <w:r w:rsidR="00000000" w:rsidRPr="00000000" w:rsidDel="00000000">
        <w:rPr>
          <w:rStyle w:val="paragraph"/>
          <w:i w:val="1"/>
          <w:rtl w:val="0"/>
        </w:rPr>
        <w:t xml:space="preserve">112.panta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2013. gada 17. decembra noteikumos Nr. 1507 "Kārtība, kādā atmaksā pievienotās vērtības nodokli trešās valsts vai trešās teritorijas reģistrētam nodokļa maksātājam" (Latvijas Vēstnesis, 2013, 252.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14.2.3.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"14.2.3. par nelietota nekustamā īpašuma iegādi iekšzemē un par iekšzemē saņemtajiem pakalpojumiem, kas ir saistīti ar nekustamā īpašuma būvniecību, pārbūvi, atjaunošanu, restaurāciju vai būvniecības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Šo noteikumu 14.2.3. apakšpunktā minēto nosacījumu daļā par iekšzemē saņemtajiem pakalpojumiem, kas saistīti ar nekustamā īpašuma būvniecību, pārbūvi, atjaunošanu, restaurāciju vai būvniecības pakalpojumiem, nepiemēro, ja atmaksu pieprasa trešās valsts vai trešās teritorijas reģistrēts nodokļa maksātājs, kas minētos pakalpojumus izmanto: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1. darījumiem, kuros par nodokļa samaksu ir atbildīgs pakalpojumu saņēmējs saskaņā ar Pievienotās vērtības nodokļa likuma 89.panta otrajā daļā noteikto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2. darījumiem, ko veic saskaņā ar Pievienotās vērtības nodokļa likuma 140.</w:t>
      </w:r>
      <w:r w:rsidR="00000000" w:rsidRPr="00000000" w:rsidDel="00000000">
        <w:rPr>
          <w:vertAlign w:val="superscript"/>
          <w:rtl w:val="0"/>
        </w:rPr>
        <w:t xml:space="preserve">2</w:t>
      </w:r>
      <w:r w:rsidR="00000000" w:rsidRPr="00000000" w:rsidDel="00000000">
        <w:rPr>
          <w:rtl w:val="0"/>
        </w:rPr>
        <w:t xml:space="preserve"> pantā noteikto īpašo nodokļa režīmu;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3. darījumiem, ko veic saskaņā ar Pievienotās vērtības nodokļa likuma 140.</w:t>
      </w:r>
      <w:r w:rsidR="00000000" w:rsidRPr="00000000" w:rsidDel="00000000">
        <w:rPr>
          <w:vertAlign w:val="superscript"/>
          <w:rtl w:val="0"/>
        </w:rPr>
        <w:t xml:space="preserve">4</w:t>
      </w:r>
      <w:r w:rsidR="00000000" w:rsidRPr="00000000" w:rsidDel="00000000">
        <w:rPr>
          <w:rtl w:val="0"/>
        </w:rPr>
        <w:t xml:space="preserve"> pantā noteikto īpašo nodokļa režīmu."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informatīvās atsauces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informatīvās atsauces uz Eiropas Savienības direktīvām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Padomes 1986.gada 17.novembra Trīspadsmitās direktīvas 86/560/EEK par dalībvalstu likumu saskaņošanu attiecībā uz apgrozījuma nodokļiem – pievienotās vērtības nodokļa atmaksāšanas kārtības nodokļiem pakļautajām personām, kas nav reģistrētas Kopienas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Padomes 2006.gada 28.novembra Direktīvas 2006/112/EK par kopējo pievienotās vērtības nodokļa sistēmu;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Padomes 2017.gada 5.decembra Direktīvas (ES) 2017/2455, ar ko groza Direktīvu 2006/112/EK un Direktīvu 2009/132/EK attiecībā uz konkrētām pievienotās vērtības nodokļa saistībām pakalpojumu sniegšanā un preču tālpārdošanā."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23-TA-2282</w:t>
    </w:r>
    <w:r>
      <w:br/>
    </w:r>
    <w:r w:rsidR="00000000" w:rsidRPr="00000000" w:rsidDel="00000000">
      <w:rPr>
        <w:rtl w:val="0"/>
      </w:rPr>
      <w:t xml:space="preserve">Izdrukāts 30.07.2026. 00.26 - 1.0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23-TA-2282</w:t>
    </w:r>
    <w:r>
      <w:br/>
    </w:r>
    <w:r w:rsidR="00000000" w:rsidRPr="00000000" w:rsidDel="00000000">
      <w:rPr>
        <w:rtl w:val="0"/>
      </w:rPr>
      <w:t xml:space="preserve">Izdrukāts 30.07.2026. 00.26 - 1.0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noteikumu_(grozījumu)_projekts_23-TA-2282.docx</dc:title>
</cp:coreProperties>
</file>

<file path=docProps/custom.xml><?xml version="1.0" encoding="utf-8"?>
<Properties xmlns="http://schemas.openxmlformats.org/officeDocument/2006/custom-properties" xmlns:vt="http://schemas.openxmlformats.org/officeDocument/2006/docPropsVTypes"/>
</file>