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 februāra noteikumos Nr. 109 "Kārtība, kādā atsavināma publiskas personas manta"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Publiskas personas mantas atsavināšanas likuma</w:t>
      </w:r>
      <w:r>
        <w:br/>
      </w:r>
      <w:r w:rsidR="00000000" w:rsidRPr="00000000" w:rsidDel="00000000">
        <w:rPr>
          <w:rStyle w:val="paragraph"/>
          <w:i w:val="1"/>
          <w:rtl w:val="0"/>
        </w:rPr>
        <w:t xml:space="preserve">4.panta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trešo un piekto daļu, 5.panta pirmo daļu,</w:t>
      </w:r>
      <w:r>
        <w:br/>
      </w:r>
      <w:r w:rsidR="00000000" w:rsidRPr="00000000" w:rsidDel="00000000">
        <w:rPr>
          <w:rStyle w:val="paragraph"/>
          <w:i w:val="1"/>
          <w:rtl w:val="0"/>
        </w:rPr>
        <w:t xml:space="preserve">6.panta pirmo daļu, 38.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47.pantu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 februāra noteikumos Nr. 109 "Kārtība, kādā atsavināma publiskas personas manta" (Latvijas Vēstnesis, 2011, 25. nr.; 2013, 208., 250. nr.; 2016, 149. nr.; 2018, 73. nr.; 2019, 240. nr.; 2020, 26., 148.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Šo noteikumu 23. punktā norādīto kārtību nepiemēro attiecībā uz nevajadzīgo valsts kustamo mantu, kas paredzēta sabiedriskās kārtības un drošības nodrošināšanai, un ir nepieciešama Pašvaldību likuma 4. panta pirmās daļas 14. punktā noteiktās pašvaldības autonomās funkcijas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Ja uz šo noteikumu 26.</w:t>
      </w:r>
      <w:r w:rsidR="00000000" w:rsidRPr="00000000" w:rsidDel="00000000">
        <w:rPr>
          <w:vertAlign w:val="superscript"/>
          <w:rtl w:val="0"/>
        </w:rPr>
        <w:t xml:space="preserve">1</w:t>
      </w:r>
      <w:r w:rsidR="00000000" w:rsidRPr="00000000" w:rsidDel="00000000">
        <w:rPr>
          <w:rtl w:val="0"/>
        </w:rPr>
        <w:t xml:space="preserve"> punktā minēto nevajadzīgo valsts kustamo mantu piesakās vismaz viena pašvaldība vai tās iestāde, to nodod attiecīgajai pašvaldībai vai tās iestādei. Ja uz nevajadzīgo valsts kustamo mantu piesakās vairākas pašvaldības vai to iestādes, valsts iestāde, kura atsavina kustamo mantu, jautājumu par mantas nodošanu atrisina, izvērtējot attiecīgās pašvaldības rīcībā esošo sabiedriskās kārtības un drošības nodrošināšanai nepieciešamo valsts kustamo mantu. Gadījumā, ja pašvaldībām ir līdzvērtīgs sabiedriskās kārtības un drošības nodrošināšanai nepieciešamais valsts kustamās mantas apjoms, jautājumu par mantas nodošanu atrisina pēc izlozes principa."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Ja neviena pašvaldība vai tās iestāde nepiesakās uz šo noteikumu 26.</w:t>
      </w:r>
      <w:r w:rsidR="00000000" w:rsidRPr="00000000" w:rsidDel="00000000">
        <w:rPr>
          <w:vertAlign w:val="superscript"/>
          <w:rtl w:val="0"/>
        </w:rPr>
        <w:t xml:space="preserve">1</w:t>
      </w:r>
      <w:r w:rsidR="00000000" w:rsidRPr="00000000" w:rsidDel="00000000">
        <w:rPr>
          <w:rtl w:val="0"/>
        </w:rPr>
        <w:t xml:space="preserve"> punktā minēto nevajadzīgo valsts kustamo mantu, nevajadzīgo valsts kustamo mantu atsavina šo noteikumu 23. punktā noteiktajā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24-TA-848</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24-TA-848</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noteikumu_(grozījumu)_projekts_24-TA-848.docx</dc:title>
</cp:coreProperties>
</file>

<file path=docProps/custom.xml><?xml version="1.0" encoding="utf-8"?>
<Properties xmlns="http://schemas.openxmlformats.org/officeDocument/2006/custom-properties" xmlns:vt="http://schemas.openxmlformats.org/officeDocument/2006/docPropsVTypes"/>
</file>