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w:t>
      </w:r>
      <w:r>
        <w:br/>
      </w:r>
      <w:r w:rsidR="00000000" w:rsidRPr="00000000" w:rsidDel="00000000">
        <w:rPr>
          <w:rStyle w:val="paragraph"/>
          <w:i w:val="1"/>
          <w:rtl w:val="0"/>
        </w:rPr>
        <w:t xml:space="preserve">ceturto daļu un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16. jūnija noteikumos Nr. 383 "Noteikumi par garantijām saimnieciskās darbības veicējiem konkurētspējas uzlabošanai" (Latvijas Vēstnesis, 2020, 119., 248. nr.; 2022, 121.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13.1.1.1. pasākumam – ERAF finansējums 7 459 282 </w:t>
      </w:r>
      <w:r w:rsidR="00000000" w:rsidRPr="00000000" w:rsidDel="00000000">
        <w:rPr>
          <w:i w:val="1"/>
          <w:rtl w:val="0"/>
        </w:rPr>
        <w:t xml:space="preserve">euro</w:t>
      </w:r>
      <w:r w:rsidR="00000000" w:rsidRPr="00000000" w:rsidDel="00000000">
        <w:rPr>
          <w:rtl w:val="0"/>
        </w:rPr>
        <w:t xml:space="preserve"> un valsts budžeta finansējums 1 540 719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to saimnieciskās darbības veicēju skaits, kuri saņem finansiālu atbalstu, kas nav granti, – 20;".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privātais finansējums, kas piesaistīts publiskajam finansējumam, –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3.1.1.1. pasākumam īstenošanas laikā atmaksātais publiskais finansējums šo noteikumu 3.1.1.1. pasākuma pārvaldības izdevumu segšanai, tai skaitā kapitāla atdeves segšanai, ievērojot atbilstoši Attīstības finanšu institūcijas likumam izstrādāto programmu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Sabiedrības "Altum" kapitāla atdeves segšanai no 2019. gada izmanto šo noteikumu 7.1. apakšpunktā minēto atmaksāto finansējumu vidēji 10 % apmērā gadā visā programmas īstenošanas laikā no sabiedrības "Altum" kapitāla, kas paredzēts šajos noteikumos minēto finanšu instrumentu kredītrisku, operacionālo risku un citu risku segšanai, ievērojot atbilstoši Attīstības finanšu institūcijas likumam izstrādāto programmu novērtējumu."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22-TA-3622</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22-TA-3622</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noteikumu_(grozījumu)_projekts_22-TA-3622.docx</dc:title>
</cp:coreProperties>
</file>

<file path=docProps/custom.xml><?xml version="1.0" encoding="utf-8"?>
<Properties xmlns="http://schemas.openxmlformats.org/officeDocument/2006/custom-properties" xmlns:vt="http://schemas.openxmlformats.org/officeDocument/2006/docPropsVTypes"/>
</file>