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Mikrouzņēmumu nodokļa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Mikrouzņēmumu nodokļa likumā (Latvijas Vēstnesis, 2010, 131. nr.; 2011, 204. nr.; 2013, 194., 232. nr.; 2015, 60., 91., 248. nr.; 2016, 255. nr.; 2017, 156. nr.; 2019, 118. nr.; 2020, 240.A nr.; 2021, 121.B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6.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 pants. Mikrouzņēmumu nodokļa likme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Mikrouzņēmumu nodokļa likme ir 25 procenti."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7.</w:t>
      </w:r>
      <w:r w:rsidR="00000000" w:rsidRPr="00000000" w:rsidDel="00000000">
        <w:rPr>
          <w:vertAlign w:val="superscript"/>
          <w:rtl w:val="0"/>
        </w:rPr>
        <w:t xml:space="preserve">1</w:t>
      </w:r>
      <w:r w:rsidR="00000000" w:rsidRPr="00000000" w:rsidDel="00000000">
        <w:rPr>
          <w:rtl w:val="0"/>
        </w:rPr>
        <w:t xml:space="preserve"> panta sesto un septīto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11. panta trešo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Par mikrouzņēmumu nodokļa maksātāja nodokļu kontrolē konstatēto mikrouzņēmumu nodokļa pārkāpumu nodokļu administrācija mikrouzņēmumu nodokļa maksātājam papildus aprēķina un par labu budžetam piedzen samazināto nodokli un nokavējuma naudu par periodu no konkrētā nodokļa maksāšanas termiņa līdz nodokļu kontroles uzsākšanas dienai."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23-TA-2000</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23-TA-2000</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likumprojekts_(grozījumi)_23-TA-2000.docx</dc:title>
</cp:coreProperties>
</file>

<file path=docProps/custom.xml><?xml version="1.0" encoding="utf-8"?>
<Properties xmlns="http://schemas.openxmlformats.org/officeDocument/2006/custom-properties" xmlns:vt="http://schemas.openxmlformats.org/officeDocument/2006/docPropsVTypes"/>
</file>