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martā (prot. Nr. 11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prasības noteikšanu ieceļošanai tikai ar mehāniskajiem transportlīdzekļiem robežšķērsošanas vietās "Pāternieki", "Terehova" un "Grebņeva"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Pamatojoties uz Ministru kabineta iekārtas likuma 33. panta pirmo daļu, lai pastiprinātu robežapsardzības sistēmu un efektivizētu robežkontroli, no 2025. gada 19. marta Latvijas Republikas–Baltkrievijas Republikas valsts robežu caur robežšķērsošanas vietu "Pāternieki" un Latvijas Republikas–Krievijas Federācijas valsts robežu caur robežšķērsošanas vietām "Terehova" un "Grebņeva" personām atļauts šķērsot, ieceļojot tikai ar mehāniskajiem transportlīdzekļiem.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25-TA-689</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25-TA-689</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rīkojuma_projekts_25-TA-689.docx</dc:title>
</cp:coreProperties>
</file>

<file path=docProps/custom.xml><?xml version="1.0" encoding="utf-8"?>
<Properties xmlns="http://schemas.openxmlformats.org/officeDocument/2006/custom-properties" xmlns:vt="http://schemas.openxmlformats.org/officeDocument/2006/docPropsVTypes"/>
</file>