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"Ostu pārvaldības digitālā transformācija, pilnveidojot transporta un loģistikas datu apstrādi un analīzi" pases un centralizētās funkcijas vai koplietošanas pakalpojumu attīstības plānu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"Ostu pārvaldības digitālā transformācija, pilnveidojot transporta un loģistikas datu apstrādi un analīzi"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noteikt, ka par tajā norādīto plānoto rezultātu (tai skaitā finanšu, rezultāta un iznākuma rādītāju) sasniegšanu atbilstoši </w:t>
      </w:r>
      <w:r w:rsidR="00000000" w:rsidRPr="00000000" w:rsidDel="00000000">
        <w:rPr>
          <w:rtl w:val="0"/>
        </w:rPr>
        <w:t xml:space="preserve">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(turpmāk – Ministru kabineta noteikumi Nr. 435) 28. punktam ir atbildīgs finansējuma saņēmējs, kā arī apstiprināt divus centralizētās funkcijas vai koplietošanas pakalpojumu attīstības plānus – ostu pārvaldības pakalpojumu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multimodālo ostu kravu pārvaldības pakalpojumu grupai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3 901 820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3 242 000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659 820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Rīgas brīvostas pārvaldi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2.1.3.1.i. investīcijas ietvaros, ja projekta iesniegums atbilst </w:t>
      </w:r>
      <w:r w:rsidR="00000000" w:rsidRPr="00000000" w:rsidDel="00000000">
        <w:rPr>
          <w:rtl w:val="0"/>
        </w:rPr>
        <w:t xml:space="preserve">Ministru kabineta noteikumos Nr. 435</w:t>
      </w:r>
      <w:r w:rsidR="00000000" w:rsidRPr="00000000" w:rsidDel="00000000">
        <w:rPr>
          <w:rtl w:val="0"/>
        </w:rPr>
        <w:t xml:space="preserve"> iekļautajiem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24-TA-651</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24-TA-651</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rīkojuma_konsolidētā_versija_24-TA-651.docx</dc:title>
</cp:coreProperties>
</file>

<file path=docProps/custom.xml><?xml version="1.0" encoding="utf-8"?>
<Properties xmlns="http://schemas.openxmlformats.org/officeDocument/2006/custom-properties" xmlns:vt="http://schemas.openxmlformats.org/officeDocument/2006/docPropsVTypes"/>
</file>