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Patērētāju tiesību aizsardzības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Patērētāju tiesību aizsardzības likumā (Latvijas Republikas Saeimas un Ministru Kabineta Ziņotājs, 1999, 9. nr.; 2002, 1. nr.; 2003, 11. nr.; 2004, 11. nr.; 2005, 24. nr.; 2007, 9., 12. nr.; 2008, 15. nr.; 2009, 13. nr.; Latvijas Vēstnesis, 2009, 194. nr.; 2010, 183., 206. nr.; 2011, 96. nr.; 2013, 193. nr.; 2014, 92., 189. nr.; 2015, 42., 118., 127. nr.; 2016, 123. nr.; 2018, 204. nr.; 2019, 248.A nr.; 2021, 79.A, 104. nr.; 2022, 43. nr.; 2023, 123., 190., 246. nr.; 2024, 38., 107.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26., 27., 28., 29., 30. un 31.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remontētājs - jebkura fiziskā vai juridiskā persona, pārdevēji vai ražotāji, kas savas saimnieciskās vai profesionālās darbības ietvaros sniedz pakalpojumu patērētājam, arī izmantojot citu personu starpniecību, kuras rīkojas tā vārdā vai uzdevumā, sniedz remonta pakalpojumus, kā arī no ražotāja neatkarīgi remonta pakalpojumu sniedzēji un tādi remonta pakalpojumu sniedzēji, kas ir saistīti ar ražotāju vai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remontējamības prasības – Eiropas Savienības tiesību aktos noteiktās remontējamības prasības atsevišķām preču un preču ar digitāliem elementiem grupām, prasības attiecībā uz rezerves daļu pieejamību, ar remontu saistīto informāciju, ar remontu saistītajiem rīkiem, kā arī prasības, kas atvieglo preču vai preču ar digitāliem elementiem izjaukšanu un remontu.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remonts - Eiropas Parlamenta un Padomes (ES) 2024. gada 13. jūnija regulas 2024/1781, ar ko izveido satvaru ekodizaina prasību noteikšanai ilgtspējīgiem produktiem, groza Direktīvu (ES) 2020/1828 un Regulu (ES) 2023/1542 un atceļ Direktīvu 2009/125/EK (turpmāk - Regula 2024/1781) 2. panta 20) punktā minētais remonts;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remonta platforma – Eiropas tiešsaistes platforma remontam, kurā patērētāji var atrast remontētājus, kā arī atjaunotu preču pārdevējus, defektīvu preču pircējus, vai sabiedrības virzītas remontēšanas iniciatīvas kā remonta kafejnīcas, ja tādas ir reģistrējušās remonta platformā. Remonta platformu veido Eiropas Savienības valstu sadaļas, kas izmanto kopīgu Eiropas Komisijas izveidotu tiešsaistes saskarni, kurā pievienotas hipersaites uz Eiropas Savienības valstu sadaļām, kuras ir pieejamas visās Eiropas Savienības oficiālajās valodās;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pilnvarotais pārstāvis - Regulas 2024/1781 2. panta 43) punktā minētais pilnvarotais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izplatītājs - Regulas 2024/1781 2. panta 45) punktā minētais izplatītājs;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atjaunošana - Regulas 2024/1781 2. panta 18) punktā minētā pārjaunošana.";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norādītajā daudzumā un tai piemīt īpašības un izpildījums, tai skaitā attiecībā uz ilgizturību, remontējamību, funkcionalitāti, saderību un drošību, kāds parasti piemīt tāda paša veida precēm un kādu patērētājs var pamatoti gaidīt, ņemot vērā preces raksturu un pārdevēja, pakalpojuma sniedzēja vai citu piegādes ķēdē iesaistīto saimnieciskās darbības veicēju publiskos, īpaši reklāmā vai preces marķējumā sniegtos,  paziņojumus.";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IV</w:t>
      </w:r>
      <w:r w:rsidR="00000000" w:rsidRPr="00000000" w:rsidDel="00000000">
        <w:rPr>
          <w:vertAlign w:val="superscript"/>
          <w:rtl w:val="0"/>
        </w:rPr>
        <w:t xml:space="preserve">2</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“Preču remontēšanas veicināšanas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6</w:t>
      </w:r>
      <w:r w:rsidR="00000000" w:rsidRPr="00000000" w:rsidDel="00000000">
        <w:rPr>
          <w:rtl w:val="0"/>
        </w:rPr>
        <w:t xml:space="preserve"> pants. Eiropas remonta informācijas veidlapa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patērētāja pieprasījuma remontētāji var izsniegt Eiropas remonta informācijas veidlapu (turpmāk – remonta veidlapa), kuru izsniedz tādā gadījumā, ja remontētājs ir izvēlējies to sagatavot un nodrošināt izsniegšanai patērētājiem.  Remonta veidlapu izsniedz saprātīgā laika posmā, izmantojot pastāvīgu informācijas nesēju, pirms patērētājam kļūst saistošs līgums par remonta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Remonta veidlapa tiek izsniegta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otrās daļas nosacījums var netikt attiecināms uz gadījumiem, ja ir nepieciešams veikt fizisku vai attālinātu diagnostiku, lai noteiktu defekta vai nepieciešamā remonta veidu un provizoriskās remonta izmaksas. Tādā gadījumā remontētājs var pieprasīt patērētājam segt diagnostikas pakalpojuma cenu, par to informējot patērētāju, pirms tas ir piekritis pakalpojuma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Remontētājs negroza remonta veidlapā norādītos remonta nosacījumus 30 kalendārās dienas no tās dienas, kad remonta veidlapa tikusi izsniegta patērētājam. Ja patērētājs remonta veidlapas derīguma termiņa laikā piekrīt tajā izklāstītajiem nosacījumiem, remontētājam ir pienākums sniegt attiecīgo remonta pakalpojumu saskaņā ar minētajiem nosacījumiem. Remontētājs un patērētājs var vienoties arī par garāku remonta veidlapas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remontētājs ir izsniedzis patērētājam atbilstoši normatīvajiem aktiem aizpildītu remonta veidlapu, tas ir izpildījis noteiktās prasības attiecībā uz patērētāja informēšanu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preces remonta pakalpojuma galvenajām iezīmēm atbilstošā apjomā, ja tas nepārprotami neizriet no konteksta;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 identitāti, tajā skaitā nosaukumu (firmu), juridisko adresi, tālruņa numuru vai elektroniskā pasta adresi, lai patērētājam nodrošinātu iespēju tiešā un ātrā veidā sazināties ar remontētāju;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remonta pakalpojuma cenu, ieskaitot nodokļus un nodevas, ja šādas izmaksas remontētājs ir iepriekš noteicis. Ja remonta pakalpojuma cenu pamatoti nevar aprēķināt iepriekš, norāda cenas aprēķināšanas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maksāšanas, remonta pakalpojuma izpildes noteikumiem un tā sniegšanas termiņu, kā arī sūdzību izskatīšanas kārtību, ja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Remonta veidlapas paraugu, tajā iekļaujamo informāciju un prasības par patērētāja informēšanu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7</w:t>
      </w:r>
      <w:r w:rsidR="00000000" w:rsidRPr="00000000" w:rsidDel="00000000">
        <w:rPr>
          <w:rtl w:val="0"/>
        </w:rPr>
        <w:t xml:space="preserve"> pants. Eiropas tiešsaistes platforma remontam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valsts sadaļai remonta platformā tiek izmantota remonta platformas tiešsaistes saskarne.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Remontētājiem, un, ja attiecināms, atjaunotu preču pārdevējiem, defektīvu preču pircējiem vai sabiedrības virzītām remontēšanas iniciatīvām, reģistrācija remonta platformā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valsts sadaļā iekļaujamo informāciju un nodrošināmās funkcionalitātes prasības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8 </w:t>
      </w:r>
      <w:r w:rsidR="00000000" w:rsidRPr="00000000" w:rsidDel="00000000">
        <w:rPr>
          <w:rtl w:val="0"/>
        </w:rPr>
        <w:t xml:space="preserve">pants. Remontēšanas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patērētāja pieprasījuma ražotājs nodrošina to preču vai preču ar digitāliem elementiem remontu, attiecībā uz kurām ir paredzētas remontējamības prasības. Lai nodrošinātu remontēšanu, ražotājs var noslēgt apakšlīgumu ar citu remonta pakalpojumu sniedzēju. Ražotājam nav pienākums remontēt tādas preces, kuras nav iespējams saremontēt.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Preces vai preces ar digitāliem elementiem remontu veic saskaņā ar šā panta pirmo daļu,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remontu veic vai nu bez maksas vai par saprātīgu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remontu veic saprātīgā laika posmā no brīža, kad prece vai prece ar digitāliem elementiem ir ražotāja faktiskajā valdījumā un viņš ir to saņēmis, vai patērētājs ir nodrošinājis tai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ražotājs var bez maksas vai par saprātīgu cenu piedāvāt un patapināt patērētājam līdzvērtīgu preci uz remonta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remonts nav iespējams, ražotājs var piedāvāt patērētājam atjaunotu preci.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ražotāja, kam, ievērojot šā panta pirmo daļu, ir pienākums nodrošināt remonta pakalpojumu,  saimnieciskā darbība ir reģistrēta ārpus Eiropas Savienības, minētos pienākumus pilda tā pilnvarotais pārstāvis Eiropas Savienībā. Ja ražotājam nav pilnvarotā pārstāvja Eiropas Savienībā, tā pienākumus pilda attiecīgās preces importētājs, savukārt, ja nav importētāja - attiecīgās preces vai preces ar digitāliem elementiem izplatītājs. Lai izpildītu remontēšanas pienākumu, pilnvarotais pārstāvis, importētājs vai izplatītājs var noslēgt apakšlīgumu par remonta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Ražotāji precēm un precēm ar digitāliem elementiem, uz kurām attiecas remontējamības prasības, par saprātīgu cenu dara pieejamas un piedāvā rezerves daļas un atbilstošus rīkus, kas nepieciešami to remontam, tā veicinot preču vai preču ar digitāliem elementiem remontēšanu.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Ražotāji vai, attiecīgā gadījumā, pilnvarotie pārstāvji, importētāji vai izplatītāji, kuriem ir remontēšanas pienākums, nodrošina, ka patērētāji, izmantojot brīvpiekļuves tīmekļvietni, ja tāda ir, var iegūt informāciju par paredzamo remonta cenu noteikto preču vai preču ar digitāliem elementiem remontiem, kas visbiežāk tiek veikti attiecībā uz konkrēto preci. Minēto informāciju par remonta pakalpojumiem dara pieejamu bez maksas skaidrā, saprotamā un viegli piekļūstamā veidā vismaz uz to laiku, kamēr ir noteikts remontēšanas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Pirkuma līgumos attiecībā uz precēm un precēm ar digitāliem elementiem, kurām ir noteiktas remontēšanas prasības, neiekļauj nekādus papildus vai īpašus nosacījumus, kā arī kādas aparatūras vai programmatūras metodes attiecībā uz remontu, ja vien šīs metodes ir attaisnojamas ar objektīviem un leģitīmiem faktoriem, tostarp intelektuālā īpašuma tiesību aizsardzība atbilstoši Eiropas Savienības un nacionālajiem tiesību aktiem. Ražotāji neaizliedz neatkarīgiem remontētājiem pielietot oriģinālas vai lietotas rezerves daļas, savietojamas un ar 3D druku izgatavotas rezerves daļas, ja tās atbilst Eiropas Savienības vai nacionālajām prasībām, piemēram, attiecībā uz intelektuālā īpašuma aizsardzības un preču drošuma prasībām. Šis punkts neattiecas uz preču un preču ar digitāliem elementiem, kurām ir noteiktas remontēšanas prasības, attiecināmajām specifiskajām prasībām un neskar Eiropas Savienības un nacionālos tiesību aktus attiecībā uz intelektuālā īpašuma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Preču vai preču ar digitāliem elementiem, kam noteiktas remontēšanas prasības, remonts, tiek nodrošināts arī gadījumos, ja kādu iepriekšēju remontu ir veikuši citi remontētāji vai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Šajā pantā noteiktais remontēšanas pienākums neskar patērētāja tiesības pieprasīt remontu no jebkura viņa izvēlēta remontētāja.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Pirms līguma noslēgšanas, remontētāji ir tiesīgi piedāvāt tādus līguma noteikumus, kas nodrošina augstāku patērētāja tiesību aizsardzību remonta pakalpojumu sniegšanai un saņemšanai, nekā noteikts šajā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9</w:t>
      </w:r>
      <w:r w:rsidR="00000000" w:rsidRPr="00000000" w:rsidDel="00000000">
        <w:rPr>
          <w:rtl w:val="0"/>
        </w:rPr>
        <w:t xml:space="preserve"> Informēšanas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patērētājam tiek nodrošināts tiesiskās aizsardzības līdzeklis saskaņā ar šā likuma 28. pantu pret līguma noteikumiem neatbilstošu preci vai preci ar digitāliem elementiem, patērētājs tiek informēts par tā tiesībām izvēlēties preces vai preces ar digitāliem elementiem remontu vai nomaiņu, kā arī par 28. panta (2)1 daļā minēto atbilstības laikposma iespējamo pagarināšanu par vienu kalendāro gadu, ja tiek izvēlēts preces vai preces ar digitāliem elementiem remonts.";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10</w:t>
      </w:r>
      <w:r w:rsidR="00000000" w:rsidRPr="00000000" w:rsidDel="00000000">
        <w:rPr>
          <w:rtl w:val="0"/>
        </w:rPr>
        <w:t xml:space="preserve"> Preces un preces ar digitāliem elementiem, uz kurām attiecas remontējamības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patērētāja pieprasījuma ražotājs nodrošina preču vai preču ar digitāliem elementiem remontu, attiecībā uz kurām Eiropas Savienības tiesību aktos ir paredzētas remontējamības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Sadzīves veļas mazgāšanas mašīnām un sadzīves veļas mazgāšanas un žāvēšanas mašīnām, saskaņā ar Eiropas Komisijas (ES) 2019. gada 1. oktobra regulu 2019/2023, ar ko saskaņā ar Eiropas Parlamenta un Padomes Direktīvu 2009/125/EK nosaka ekodizaina prasības sadzīves veļas mazgāšanas mašīnām un sadzīves veļas mazgāšanas un žāvēšanas mašīnām, ar ko groza Komisijas Regulu (EK) Nr. 1275/2008 un ar ko atceļ Komisijas Regulu (ES) Nr. 1015/2010;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Sadzīves trauku mazgāšanas mašīnām, saskaņā ar Eiropas Komisijas (ES) 2019. gada 1. oktobra regulu 2019/2022, ar ko saskaņā ar Eiropas Parlamenta un Padomes Direktīvu 2009/125/EK nosaka ekodizaina prasības sadzīves trauku mazgāšanas mašīnām, groza Komisijas Regulu (EK) Nr. 1275/2008 un atceļ Komisijas Regulu (ES) Nr. 1016/2010;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Aukstumiekārtām, saskaņā ar Eiropas Komisijas (ES) 2019. gada 1. oktobra regulu 2019/2019, ar ko saskaņā ar Eiropas Parlamenta un Padomes Direktīvu 2009/125/EK nosaka ekodizaina prasības aukstumiekārtām un atceļ Komisijas Regulu (EK) Nr. 643/2009;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Elektroniskajiem displejiem, saskaņā ar Eiropas Komisijas (ES) 2019. gada 1. oktobra regulu 2019/2021, ar ko nosaka ekodizaina prasības elektroniskajiem displejiem saskaņā ar Eiropas Parlamenta un Padomes Direktīvu 2009/125/EK, groza Komisijas Regulu (EK) Nr. 1275/2008 un atceļ Komisijas Regulu (EK) Nr. 642/2009;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Metināšanas aparātiem, saskaņā ar Eiropas Komisijas (ES) 2019. gada 1. oktobra regulu 2019/1784, ar ko nosaka ekodizaina prasības metināšanas aparātiem saskaņā ar Eiropas Parlamenta un Padomes Direktīvu 2009/125/EK;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Putekļsūcējiem, saskaņā ar Eiropas Komisijas (ES) 2013. gada 8. jūlija regulu Nr. 666/2013, ar ko Eiropas Parlamenta un Padomes Direktīvu 2009/125/EK īsteno attiecībā uz ekodizaina prasībām putekļsūcējiem;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Serveriem un datu glabāšanas ražojumiem, saskaņā ar Eiropas Komisijas (ES) 2019. gada 15. marta regulu 2019/424, ar ko nosaka ekodizaina prasības serveriem un datu glabāšanas ražojumiem atbilstīgi Eiropas Parlamenta un Padomes Direktīvai 2009/125/EK un groza Komisijas Regulu (ES) Nr. 617/2013;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Mobilajiem tālruņiem, bezvadu tālruņiem un ievadvirsmas planšetdatoriem, saskaņā ar Eiropas Komisijas (ES) 2023. gada 16. jūnija regulu 2023/1670, ar ko saskaņā ar Eiropas Parlamenta un Padomes Direktīvu 2009/125/EK nosaka ekodizaina prasības viedtālruņiem, mobilajiem tālruņiem, kas nav viedtālruņi, bezvadu tālruņiem un ievadvirsmas planšetdatoriem un groza Komisijas Regulu (ES) 2023/826;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Sadzīves veļas žāvētājiem, saskaņā ar Eiropas Komisijas (ES) 2023. gada 17. novembra regulu 2023/2533, ar ko Eiropas Parlamenta un Padomes Direktīvu 2009/125/EK īsteno attiecībā uz ekodizaina prasībām sadzīves veļas žāvētājiem, groza Komisijas Regulu (ES) 2023/826 un atceļ Komisijas Regulu (ES) Nr. 932/2012;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Precēm, kuru sastāvā ir vieglo pārvietošanās līdzekļu baterijas, saskaņā ar Eiropas Parlamenta un Padomes (ES) 2023. gada 12. jūlija regulu 2023/1542 par baterijām un bateriju atkritumiem, ar ko groza Direktīvu 2008/98/EK un Regulu (ES) 2019/1020 un atceļ Direktīvu 2006/66/EK.";</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7</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VII2 nodaļā minēto prasību ievērošanas uzraudzību un kontroli īsteno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ir Latvijas izraudzītais kontaktpunkts (turpmāk – valsts kontaktpunkts) remonta platformas darbībā un komunikācijā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kontaktpunkts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piekļuvi valsts sadaļai, lai remontētāji, un, ja attiecināms, atjaunotu preču pārdevēji, defektīvu atjaunojamu preču pircēji vai sabiedrības virzītas remontēšanas iniciatīvas varētu tajā reģistrēties;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palīdzību Eiropas Komisijai saistībā ar valsts sadaļas darbību remonta platformā.";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saskaņā ar šā panta pirmo un otro daļu tiek veikts remonts, lai nodrošinātu preces atbilstību līguma noteikumiem, tad atbilstības laikposmu vienu reizi pagarina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Remontu veic bez maksas, saprātīgā laikposmā un neradot būtiskas neērtības patērētājam.”.;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37.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(10)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remonta veidlapai noteikto prasību neievērošanu, remontēšanas pienākuma neievērošanu vai noteikto prasību pārkāpšanu un šā likuma 21.8 panta devītās daļas neievērošanu piemēro naudas sodu fiziskajai personai līdz septiņdesmit naudas soda vienībām, bet juridiskajai personai — no sešām līdz divsimt astoņdesmit naudas soda vienībām.".;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pārejas noteikumus ar 49.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Šā likuma PTAL 14. panta pirmās daļas 8) punktu, 21.</w:t>
      </w:r>
      <w:r w:rsidR="00000000" w:rsidRPr="00000000" w:rsidDel="00000000">
        <w:rPr>
          <w:vertAlign w:val="superscript"/>
          <w:rtl w:val="0"/>
        </w:rPr>
        <w:t xml:space="preserve">9</w:t>
      </w:r>
      <w:r w:rsidR="00000000" w:rsidRPr="00000000" w:rsidDel="00000000">
        <w:rPr>
          <w:rtl w:val="0"/>
        </w:rPr>
        <w:t xml:space="preserve"> pantu, 28. panta (2)</w:t>
      </w:r>
      <w:r w:rsidR="00000000" w:rsidRPr="00000000" w:rsidDel="00000000">
        <w:rPr>
          <w:vertAlign w:val="superscript"/>
          <w:rtl w:val="0"/>
        </w:rPr>
        <w:t xml:space="preserve">1</w:t>
      </w:r>
      <w:r w:rsidR="00000000" w:rsidRPr="00000000" w:rsidDel="00000000">
        <w:rPr>
          <w:rtl w:val="0"/>
        </w:rPr>
        <w:t xml:space="preserve"> daļu un 28. panta (4)</w:t>
      </w:r>
      <w:r w:rsidR="00000000" w:rsidRPr="00000000" w:rsidDel="00000000">
        <w:rPr>
          <w:vertAlign w:val="superscript"/>
          <w:rtl w:val="0"/>
        </w:rPr>
        <w:t xml:space="preserve">1</w:t>
      </w:r>
      <w:r w:rsidR="00000000" w:rsidRPr="00000000" w:rsidDel="00000000">
        <w:rPr>
          <w:rtl w:val="0"/>
        </w:rPr>
        <w:t xml:space="preserve"> daļu nepiemēro tiem pārdošanas līgumiem, kuri ir noslēgti pirms 2026. gada 31. jūlija.".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25-TA-1352</w:t>
    </w:r>
    <w:r>
      <w:br/>
    </w:r>
    <w:r w:rsidR="00000000" w:rsidRPr="00000000" w:rsidDel="00000000">
      <w:rPr>
        <w:rtl w:val="0"/>
      </w:rPr>
      <w:t xml:space="preserve">Izdrukāts 29.07.2026. 23.14 - 1.0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25-TA-1352</w:t>
    </w:r>
    <w:r>
      <w:br/>
    </w:r>
    <w:r w:rsidR="00000000" w:rsidRPr="00000000" w:rsidDel="00000000">
      <w:rPr>
        <w:rtl w:val="0"/>
      </w:rPr>
      <w:t xml:space="preserve">Izdrukāts 29.07.2026. 23.14 - 1.0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likumprojekts_(grozījumi)_25-TA-1352.docx</dc:title>
</cp:coreProperties>
</file>

<file path=docProps/custom.xml><?xml version="1.0" encoding="utf-8"?>
<Properties xmlns="http://schemas.openxmlformats.org/officeDocument/2006/custom-properties" xmlns:vt="http://schemas.openxmlformats.org/officeDocument/2006/docPropsVTypes"/>
</file>