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w:t>
      </w:r>
      <w:r w:rsidR="00000000" w:rsidRPr="00000000" w:rsidDel="00000000">
        <w:rPr>
          <w:rStyle w:val="paragraph"/>
          <w:i w:val="1"/>
          <w:rtl w:val="0"/>
        </w:rPr>
        <w:t xml:space="preserve">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sasniedzamos atskaites punktus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Atveseļošanas fonda plāna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projekta īstenošanas nosacījumus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izstrādāt sociālās nodrošināšanas prognozēšanas rīka informācijas sistēmu (turpmāk – prognozēšanas rīks) valsts sociālās apdrošināšanas sistēmas, tostarp pensiju sistēmas, ilgtermiņa prognozēm, sistēmas ilgtermiņa stabilitātes, ilgtspējas un efektivitātes izvērtēšanai un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tiešās pārvaldes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īsteno 3.1.2.r. reformu "Sociālo un nodarbinātības pakalpojumu pieejamība minimālo ienākumu reformas atbalstam", kuras mērķis ir nodrošināt augstam sociālās atstumtības riskam pakļautajiem iedzīvotājiem, kuriem ir ierobežoti finanšu resursi, pieeju būtiski nepieciešamajiem sociālajiem un nodarbinātības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investīcijas īstenošanas pārvaldību atbildīgā nozares ministrija ir Labklājības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ietvaros ir sasniedzami šādi atskaites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30. jūnijam – līguma noslēgšana par prognozēšanas modeļa algoritmu izstrādi, informācijas sistēmas tehniskās specifikācijas izstrādi un sistēmas izstrādes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30. septembrim – sociālās nodrošināšanas prognozēšanas rīka informācijas sistēmas tehniskās specifikācijas pabeigšana;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31. martam – prognozēšanas rīka izstrāde.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Atskaites punktu sasniegšanu apliecina informācijas un dokumentu kopums, kas iesniegts Kohēzijas politikas fondu vadības informācijas sistēmā (turpmāk – vadības informācijas sistēma),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tehniskās specifikācijas un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līguma kopija par prognozēšanas modeļa algoritmu izstrādi, informācijas sistēmas tehniskās specifikācijas izstrādi un sistēmas izstrādes uzraudzību un apraksts no attiecīgajām dokumentu daļām, kas noteiktas Atveseļošanas fonda plāna Darbības kārtībā, par kuru vienojas Eiropas Komisija un Latvija;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izveidotās iepirkuma komisijas protokola kopija un apraksts no tā attiecīgajām daļām, kas apliecina, ka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līguma slēgšanas tiesības tika piešķirtas konkursa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prognozēšanas rīka tehniskās specifikācijas kopija un apraksts no tās attiecīgajām daļām;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izveidotās nacionālās darba grupas protokola kopija un apraksts no tā attiecīgajām daļām, kas apliecina tehniskās specifikācijas apstiprināšanu par prognozēšanas rīka izstrādi un tās gatavību iesniegšanai finansējuma saņēmēja izveidotai iepirkuma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6.3.</w:t>
      </w:r>
      <w:r w:rsidR="00000000" w:rsidRPr="00000000" w:rsidDel="00000000">
        <w:rPr>
          <w:rtl w:val="0"/>
        </w:rPr>
        <w:t xml:space="preserve"> apakšpunktā</w:t>
      </w:r>
      <w:r w:rsidR="00000000" w:rsidRPr="00000000" w:rsidDel="00000000">
        <w:rPr>
          <w:rtl w:val="0"/>
        </w:rPr>
        <w:t xml:space="preserve"> minētā atskaites punkta sasniegšanai – finansējuma saņēmēja un pakalpojuma sniedzēja parakstītā pieņemšanas un nodošanas akta kopija par izstrādāto prognozēšanas rīku valsts sociālās apdrošināšanas sistēmas ilgtermiņa prognozēm.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finansējuma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īstenošanai pieejamais Atveseļošanas fonda finansējums ir 1 026 795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īstenošanai pieejamais valsts budžeta finansējums pievienotās vērtības nodokļa segšanai ir indikatīvi 161 207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Finansējuma saņēmējs un sadarbības partneris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22.12.2025. noteikumu Nr. 820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ir Labklājības ministrija (turpmāk – finansējuma saņēmējs), kas īsteno projektu, pamatojoties uz nozares ministrijas izdotu pārvaldes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partneris 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minētās atbalstāmās darbības īstenošanā ir Valsts sociālās apdrošināšanas aģentūra (turpmāk – aģentūra).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minēto sadarbību, finansējuma saņēmējs ar sadarbības partneri noslēdz vienošanos un iekļauj tajā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un finansējuma saņēmēja rekvizīti;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īstenošanu saistīto dokumentu glabāšanas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Noslēdzot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vienošanos, tajā iekļauj šādus sadarbības partneru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sadarbības partneris ir aģentūra: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konsultāciju un prognožu veikšanai nepieciešamo statistikas, finanšu un citu aģentūras rīcībā esošo datu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dalība izstrādātā prognozēšanas rīka testēšanā, algoritma rezultātu vērtēšanā, sniedzot viedokli par aģentūras kompetencē esošiem jautājumiem;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prognozēšanas rīka testa un produkcijas vides izvietošana labklājības nozares informācijas un komunikācijas tehnoloģiju infrastruktūrā un tam nepieciešamās operatīvās atmiņas, procesora jaudas un datu glabāšanai vajadzīgās diska vietas (turpmāk visi kopā – resursi) noma;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22.12.2025. noteikumiem Nr. 820).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26.08.2025. noteikumiem Nr. 519)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projekta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prognozēšanas rīka tehniskās specifikācijas izstrāde, tai skaitā situācijas priekšizpētes ziņojuma sagatavošana, un prognozēšanas rīka izstrādes kvalitātes uzraudzība;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prognozēšanas rīka izstrāde, tai skaitā prognozēšanas rīka testēšana, lietotāja un administratora rokasgrāmatu sagatavošana, prognozēšanas rīka lietotāju un administratoru mācības;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labklājības nozares informācijas un komunikācijas tehnoloģijas infrastruktūrai nepieciešamo resursu noma prognozēšanas rīka izstrādei, testēšanai un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prognozēšanas rīka kiberdrošības audita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informēšanas un izpratnes veicināšanas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26.08.2025. noteikumiem Nr. 519)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projektā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projekta īstenošanas personāla un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 sadarbības partnera projekta īstenošanas personāla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saskaņā ar Valsts un pašvaldību institūciju amatpersonu un darbinieku atlīdzības likumu, kas radušās uz darba līguma vai rīkojuma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redzes korekcijas līdzekļu kompensācijas izmaksas, ja tās nav iekļautas šo noteikumu </w:t>
      </w:r>
      <w:r w:rsidR="00000000" w:rsidRPr="00000000" w:rsidDel="00000000">
        <w:rPr>
          <w:rtl w:val="0"/>
        </w:rPr>
        <w:t xml:space="preserve">16.2.1.</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obligāto veselības pārbaužu veikšanas kārtību paredzēto veselības pārbaužu izmaksas, ja tās nav iekļautas šo noteikumu </w:t>
      </w:r>
      <w:r w:rsidR="00000000" w:rsidRPr="00000000" w:rsidDel="00000000">
        <w:rPr>
          <w:rtl w:val="0"/>
        </w:rPr>
        <w:t xml:space="preserve">16.2.1.</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atbalstāmo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apdrošināšanas izmaksas normatīvajos aktos noteiktā apmērā finansējuma saņēmēja projekta vadības un īstenošanas personālam un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 sadarbības partnera projekta īstenošanas personālam, ja personāls ir nodarbināts normālu darba laiku. Ja personāls ir nodarbināts nepilnu darba laiku, veselības apdrošināšanas izmaksas nosakāmas atbilstoši nepilna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iegādes vai nomas izmaksas finansējuma saņēmēja projekta vadības personālam jaunu darba vietu radīšanai un, ja aprīkojums ir nolietojies un tiek norakstīts, aprīkojuma uzturēšanai un remontam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personāla un ekspertu piesaistei;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informēšanas un izpratnes veidošanas pasākumu īstenošanai un komunikācijas un vizuālās identitātes prasību nodrošināšanai, ja nepieciešams piesaistīt pakalpojuma sniedzēju;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resursu nomas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26.08.2025. noteikumiem Nr. 519; MK 11.11.2025. noteikumiem Nr. 662)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Atveseļošanas fonda finansējums nesedz pievienotās vērtības nodokļa izmaksas, bet šādas izmaksas ir iekļaujamas investīcijas projektā un tās finansējuma saņēmējs sedz no valsts budžeta finansējuma, ja pievienotās vērtības nodokli nevar atgūt no valsts budžeta priekšnodokļa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projekta atbalstāmo darbību ietvaros radušās izmaksas var uzskatīt par attiecināmām no Atveseļošanas fonda, ja tās ir tieši saistītas ar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minētajiem atskaites punktiem, atbilst šajos noteikumos ietvertajām atbalstāmajām darbībām un attiecināmo izmaksu pozīcijām un tās radušās no 2022. gada 1. janvāra. Ja projekta atbalstāmo darbību īstenošana pabeigta līdz 2021. gada 31. decembrim, to izmaksas nav attiecināmas finansēšanai no Atveseļošanas fonda.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Prognozēšanas rīka izstrādei un uzraudzībai finansējuma saņēmējs ar labklājības ministra rīkojumu izveido nacionālo darba grupu, kas nodrošina ar prognozēšanas rīka izstrādi saistīto jautājumu pārvaldību. Nacionālās darba grupas sastāvā ir finansējuma saņēmēja, Finanšu ministrijas, Viedās administrācijas un reģionālās attīstības ministrijas, Ekonomikas ministrijas, Latvijas Bankas, Latvijas Darba devēju konfederācijas, Latvijas Brīvo arodbiedrību savienības pārstāvji un zinātniskā sektora pārstāvji, kā arī citi pārstāvji pēc nepieciešamības.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820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minētajai nacionālajai darba grupai ir šādi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ekspertu ar starptautisku pieredzi izvēles kritērijus un apstiprināt darba uzdevumu ekspertu ar starptautisku pieredzi iepirkumam;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prognozēšanas rīka tehnisko specifikāciju;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validēt un apstiprināt izstrādāto prognozēšanas rīku.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īstenošanai un uzraudzībai nepieciešamās informācijas iesniegšanu un uzkrāšanu finansējuma saņēmējs un nozares ministrija nodrošina vadības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investīcijas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darbību īstenošanai projekta vadības un īstenošanas personālu vai īstenojot publiskos iepirkumus, nodrošina, ka projekta īstenošanas laikā tiek ievēroti interešu konflikta, korupcijas un krāpšanas novēršanas nosacījumi, nodrošinot vismaz šādus pasākumus: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vadībā un īstenošanā iesaistītais personāls ir informēts par korupcijas un interešu konflikta novēršanas jautājumiem un krāpšanas pazīmēm;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22.12.2025. noteikumiem Nr. 820)</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vadībā un īstenošanā iesaistītais personāls ir informēts par iespēju ziņot par pārkāpumiem un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projekta īstenošanas laikā atbilstoši Eiropas Parlamenta un Padomes 2024. gada 23. septembra Regulas (ES, Euratom) 2024/2509 par finanšu noteikumiem, ko piemēro Savienības vispārējam budžetam (pārstrādāta redakcija), 61. pantam un normatīvajiem aktiem publisko iepirkumu jomā tiek ievēroti interešu konflikta, korupcijas un krāpšanas novēršanas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dubultfinansēšanas riskus un nodrošina, ka projektā plānotās atbalstāmās darbības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iepirkumus veic atbilstoši normatīvajiem aktiem publisko iepirkumu jomā, īstenojot atklātas, pārredzamas, nediskriminējošas un konkurenci nodrošinošas iepirkuma procedūras;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vien tas ir iespējams un attiecināms, ņemot vērā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specifiku, veic sociāli atbildīgu publisko iepirkumu;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pievienotās vērtības nodokļa izmaksu uzskaiti, kā arī ieskaita valsts budžetā neizmantotā pievienotās vērtības nodokļa daļu, ja sākotnēji plānotais pievienotās vērtības nodokļa apjoms ir lielāks nekā faktiski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grāmatvedību regulējošo normatīvo aktu prasībām, piemēram, izveidojot atbilstošu uzskaites kodu sistēmu par visiem projekta īstenošanai veiktajiem darījumiem, kā arī pamatojošajā dokumentācijā norādot projekta identifikatoru;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normatīvajos aktos par Atveseļošanas fonda plāna īstenošanas un uzraudzības kārtību minētajām institūcijām ir pieejama ar projekta īstenošanu saistītā dokumentācija. Dokumentācijas pieejamību nodrošina vadības informācijas sistēmā, pie finansējuma saņēmēja vai pie sadarbības partnera. Ja dokumentācija ir pieejama tikai pie finansējuma saņēmēja vai sadarbības partnera, nodrošina tās iesniegšanu institūcijai, kas atbilstoši normatīvajos aktos par Atveseļošanas fonda plāna īstenošanas un uzraudzības kārtību noteiktajai kompetencei to pieprasa;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 datu pārziņi apstrādā un uzkrāj personas datus tādā apjomā, kas nepieciešams, lai īstenotu projektu, kā arī sagatavotu un iesniegtu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Īstenojot investīcijas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minētās atbalstāmās darbības īstenošanai piesaista ekspertus ar starptautisku pieredzi un atbilstošām zināšanām darbā ar prognozēšanas rīkiem, kas nepieciešamas prognozēšanas rīka tehniskās specifikācijas izstrādei un rīka izgatavošanas prasību sagatavošanai nosacīti noteikto iemaksu pensiju sistēmu kontekstā;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minētos komunikācijas un vizuālās identitātes prasību nodrošināšanas pasākumus īsteno saskaņā ar Eiropas Parlamenta un Padomes 2021. gada 12. februāra Regulas (ES) 2021/241,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informē nozares ministriju par problēmām (tai skaitā konstatētiem iespējamiem trūkumiem un pārkāpumiem) projekta īstenošanā, kuras saistītas ar normatīvajos aktos par Atveseļošanas fonda plāna īstenošanu un uzraudzības kārtību noteikto finansējuma saņēmēja pienākuma izpildi un Atveseļošanas fonda plāna prasību ievērošanu un riskiem, kuri apdraud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noteikto atskaites punktu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Atveseļošanas fonda plāna īstenošanas progresa pusgada ziņojuma un maksājuma pieprasījuma sagatavošanai vadības informācijas sistēmā ievada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pārvaldes lēmumā noteiktajam termiņam, bet ne vēlāk kā līdz kārtējā gada 10. janvārim (ar statusu uz iepriekšējā gada 31. decembri) un 10. jūlijam (ar statusu uz kārtējā gada 30. jūniju);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projekta ietvaros izstrādājamais prognozēšanas rīks tiks saskaņots ar Viedās administrācijas un reģionālās attīstības ministriju atbilstoši normatīvajiem aktiem par valsts informācijas sistēmu attīstības projektu uzraudzību;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finansējuma saņēmēja īpašumā atradīsies projekta ietvaros izstrādātā prognozēšanas rīka pirmkodi, intelektuālā īpašuma tiesības, tai skaitā risinājuma modificēšanas tiesības.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26.08.2025. noteikumiem Nr. 519)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īstenojot investīcijas projektu, ir nepieciešami grozījumi projektā, plānoto progresa pārskatu iesniegšanas grafikā vai plānotajā iepirkumu plānā, tos izdara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projekta, plānoto progresa pārskatu iesniegšanas grafika vai plānoto iepirkuma plāna grozījumu priekšlikumu nozares ministrijā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ministrija iesniegtos grozījumus plānotajā progresa pārskata iesniegšanas grafikā vai plānotajā iepirkumu plānā pieņem zināšanai vai piecu darbdienu laikā no to saņemšanas dienas informē finansējuma saņēmēju par nepieciešamajiem precizējumiem (tai skaitā norādot tā atkārtotas iesniegšanas kārtību un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ministrija iesniegto projekta grozījumu lietderību, pamatotību un nepieciešamību investīcijas mērķa sasniegšanai pārbauda 10 darbdienu laikā pēc projekta grozījumu priekšlikuma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nozares ministrija noraida projekta grozījumu priekšlikumu, tā norāda atteikuma pamatojumu un, ja nepieciešams, informāciju par veicamajiem precizējumiem un tā atkārtotas iesniegšanas kārtību un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atkārtoti iesniegto grozījumu priekšlikumu nozares ministrija izskata piecu darbdienu laikā no to saņemšanas dienas pēc atkārtoti iesniegtā grozījuma priekšlikuma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nozares ministrija veic atbilstošus grozījumus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pārvaldes lēmumā.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Investīcijas projekta īstenošanas uzraudzību nodrošina nozares ministrija sadarbībā ar normatīvajos aktos par Atveseļošanas fonda plāna īstenošanas un uzraudzības kārtību minētajām institūcijām, kuras atbilstoši kompetencei veic vismaz šādas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pārbaudi interešu konflikta, korupcijas un krāpšanas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dubultfinansējuma riska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un to pamatojošās dokumentācijas atbilstības pārbaudi, tai skaitā datu ticamības pārbaudi.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Uzraudzībā iesaistītās institūcijas atbilstoši to kompetencei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minēto noslēguma pārbaužu veikšanu un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minētās noslēguma progresa informācijas izvērtēšanu nodrošina līdz 2026.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Papildus nozares ministrija: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bet ne retāk kā reizi pusgadā organizē projekta īstenošanas progresa uzraudzības sanāksmes, pieaicinot finansējuma saņēmēju, sadarbības partnerus un, ja nepieciešams, arī Centrālo finanšu un līgumu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projekta ietvaros ir konstatējusi vai no Centrālās finanšu un līgumu aģentūras, Iepirkumu uzraudzības biroja, Finanšu ministrijas kā Atveseļošanas fonda plāna revīzijas iestādes, Eiropas Komisijas, citām kontrolējošām iestādēm vai finansējuma saņēmēja ir saņēmusi informāciju par konstatētiem trūkumiem un pārkāpumiem saistībā ar Atveseļošanas fonda plāna prasību īstenošanu un riskiem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sasniegšanai, sniedzot detalizētu aprakstu par radušos situāciju, trūkumu un pārkāpumu rašanās cēloņiem, finansiālo ietekmi, kā arī sniedzot risinājumu par veicamajām darbībām un uzlabojumiem, lai novērstu konstatētās nepilnības.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Nozares ministrijai ir tiesības vienpusēji paziņot finansējuma saņēmējam par investīcijas projekta īstenošanas pārtraukšanu,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projekta nosacījumus, tai skaitā projekta īstenošana nenotiek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pārvaldes lēmumā noteiktajiem termiņiem vai ir iestājušies citi apstākļi, kas negatīvi ietekmē vai var ietekmēt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saņēmējam projekta īstenošanas laikā ir piemērotas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pārvaldes lēmumā noteiktajos gadījumos.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projektu īsteno līdz 2026. gada 30. jūnijam.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26.08.2025. noteikumu Nr. 519 redakcijā)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izmaksas ir attiecināmas no dienas, kad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minētais sadarbības partneris ir noslēdzis līgumu par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resursu nomu.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26.08.2025. noteikumu Nr. 519 redakcijā)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26-TA-324</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26-TA-324</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noteikumu_konsolidētā_versija_26-TA-324.docx</dc:title>
</cp:coreProperties>
</file>

<file path=docProps/custom.xml><?xml version="1.0" encoding="utf-8"?>
<Properties xmlns="http://schemas.openxmlformats.org/officeDocument/2006/custom-properties" xmlns:vt="http://schemas.openxmlformats.org/officeDocument/2006/docPropsVTypes"/>
</file>