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13.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567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Sistēmā ievadāmās gāzes kvalitātes parametru raksturlielumi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3101"/>
        <w:gridCol w:w="1089"/>
        <w:gridCol w:w="4634"/>
        <w:gridCol w:w="4634"/>
        <w:tblGridChange w:id="0">
          <w:tblGrid>
            <w:gridCol w:w="419"/>
            <w:gridCol w:w="3101"/>
            <w:gridCol w:w="1089"/>
            <w:gridCol w:w="4634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kvalitātes raksturlielums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kvalitātes raksturlieluma vērtība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pārvades sistēmā, kas tieši saistīta ar piegādēm citām valstīm vai Inčukalna pazemes gāzes krātuvi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sadales vai pārvades sistēmā, kas nav tieši saistīta ar piegādēm citām valstīm vai Inčukalna pazemes gāzes krātuvi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49,18–55,81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45,81–51,98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13,66–15,50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12,73–14,44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  <w:r w:rsidR="00000000" w:rsidRPr="00000000" w:rsidDel="00000000">
              <w:rPr>
                <w:rtl w:val="0"/>
              </w:rPr>
              <w:t xml:space="preserve"> (GCV)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37,44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  <w:r w:rsidR="00000000" w:rsidRPr="00000000" w:rsidDel="00000000">
              <w:rPr>
                <w:rtl w:val="0"/>
              </w:rPr>
              <w:t xml:space="preserve">≥ 34,87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10,41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  <w:r w:rsidR="00000000" w:rsidRPr="00000000" w:rsidDel="00000000">
              <w:rPr>
                <w:rtl w:val="0"/>
              </w:rPr>
              <w:t xml:space="preserve">≥ 9,69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I</w:t>
            </w:r>
            <w:r w:rsidR="00000000" w:rsidRPr="00000000" w:rsidDel="00000000">
              <w:rPr>
                <w:rtl w:val="0"/>
              </w:rPr>
              <w:t xml:space="preserve"> (NCV)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34,17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  <w:r w:rsidR="00000000" w:rsidRPr="00000000" w:rsidDel="00000000">
              <w:rPr>
                <w:rtl w:val="0"/>
              </w:rPr>
              <w:t xml:space="preserve">≥ 31,82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9,48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RSH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16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un augstāki ogļūdeņraži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– HC DP, ja spiediens 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 DP, ja spiediens 40 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 (tikai ievadot sadales sistēmā)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Amonjaks – NH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a,e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b,e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Amīni – R-NH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a,e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b,e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 – Hg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Hlorētie savienojumi (kā Cl)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Fluorētie savienojumi (kā F)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monoksīds – CO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Silīcijs – 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0,3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 a</w:t>
            </w:r>
            <w:r w:rsidR="00000000" w:rsidRPr="00000000" w:rsidDel="00000000">
              <w:rPr>
                <w:rtl w:val="0"/>
              </w:rPr>
              <w:t xml:space="preserve"> – Standartapstākļi: 25/0 ° C (sadegšana/mērīšana), 1,01325 bar.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  <w:r w:rsidR="00000000" w:rsidRPr="00000000" w:rsidDel="00000000">
              <w:rPr>
                <w:rtl w:val="0"/>
              </w:rPr>
              <w:t xml:space="preserve"> – Standartapstākļi: 25/20 ° C (sadegšana/mērīšana), 1,01325 bar.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  <w:r w:rsidR="00000000" w:rsidRPr="00000000" w:rsidDel="00000000">
              <w:rPr>
                <w:rtl w:val="0"/>
              </w:rPr>
              <w:t xml:space="preserve"> – Nav jākontrolē biometānam.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  <w:r w:rsidR="00000000" w:rsidRPr="00000000" w:rsidDel="00000000">
              <w:rPr>
                <w:vertAlign w:val="superscript"/>
                <w:rtl w:val="0"/>
              </w:rPr>
              <w:t xml:space="preserve">d </w:t>
            </w:r>
            <w:r w:rsidR="00000000" w:rsidRPr="00000000" w:rsidDel="00000000">
              <w:rPr>
                <w:rtl w:val="0"/>
              </w:rPr>
              <w:t xml:space="preserve">– Komponenta klātbūtne biometānā nav pieļaujama.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  <w:r w:rsidR="00000000" w:rsidRPr="00000000" w:rsidDel="00000000">
              <w:rPr>
                <w:vertAlign w:val="superscript"/>
                <w:rtl w:val="0"/>
              </w:rPr>
              <w:t xml:space="preserve">e </w:t>
            </w:r>
            <w:r w:rsidR="00000000" w:rsidRPr="00000000" w:rsidDel="00000000">
              <w:rPr>
                <w:rtl w:val="0"/>
              </w:rPr>
              <w:t xml:space="preserve">– Jākontrolē poligonu gāzēm reizi trijos mēnešos.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noteikumu_(grozījumu)_projekts_p1_23-TA-2503.docx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