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738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26. novembrī (prot. Nr. 50 23.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2007. gada 27. marta noteikumos Nr. 220 "Zāļu iegādes, uzglabāšanas, izlietošanas, uzskaites un iznīcināšanas kārtība ārstniecības iestādēs un sociālās aprūpes institūcijās"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Farmācijas likuma</w:t>
      </w:r>
      <w:r w:rsidR="00000000" w:rsidRPr="00000000" w:rsidDel="00000000">
        <w:rPr>
          <w:rStyle w:val="paragraph"/>
          <w:i w:val="1"/>
          <w:rtl w:val="0"/>
        </w:rPr>
        <w:t xml:space="preserve"> 5. panta 7. punktu un</w:t>
      </w:r>
      <w:r>
        <w:br/>
      </w:r>
      <w:r w:rsidR="00000000" w:rsidRPr="00000000" w:rsidDel="00000000">
        <w:rPr>
          <w:rStyle w:val="paragraph"/>
          <w:i w:val="1"/>
          <w:rtl w:val="0"/>
        </w:rPr>
        <w:t xml:space="preserve">Narkotisko un psihotropo vielu un zāļu, kā arī prekursoru</w:t>
      </w:r>
      <w:r>
        <w:br/>
      </w:r>
      <w:r w:rsidR="00000000" w:rsidRPr="00000000" w:rsidDel="00000000">
        <w:rPr>
          <w:rStyle w:val="paragraph"/>
          <w:i w:val="1"/>
          <w:rtl w:val="0"/>
        </w:rPr>
        <w:t xml:space="preserve">likumīgās aprites likuma</w:t>
      </w:r>
      <w:r w:rsidR="00000000" w:rsidRPr="00000000" w:rsidDel="00000000">
        <w:rPr>
          <w:rStyle w:val="paragraph"/>
          <w:i w:val="1"/>
          <w:rtl w:val="0"/>
        </w:rPr>
        <w:t xml:space="preserve"> 37. panta 4.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2007. gada 27. marta noteikumos Nr. 220 "Zāļu iegādes, uzglabāšanas, izlietošanas, uzskaites un iznīcināšanas kārtība ārstniecības iestādēs un sociālās aprūpes institūcijās" (Latvijas Vēstnesis, 2007, 55. nr.; 2008, 57. nr.; 2009, 42. nr.; 2010, 139. nr.; 2011, 15. nr.; 2012, 194. nr.; 2016, 77. nr.; 2019, 12. nr.; 2020, 119.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Ārstniecības iestādes un sociālās aprūpes institūcijas vadītājs atbilstoši ārstniecības iestādes vai sociālās aprūpes institūcijas darba profilam un struktūrai nosaka detalizētu šo noteikumu izpildes kārtību, norādot amatpersonu, kas ir atbildīga par zāļu (arī par narkotisko vielu un zāļu un psihotropo vielu un zāļu, ja tādas lieto vai ir paredzēts lietot, un vakcīnu) iegādes (arī saņemšanas), uzglabāšanas (arī nodošanas), izlietošanas, uzskaites un iznīcināšanas kārtības nodrošināšanu ārstniecības iestādē vai sociālās aprūpes institūcijā (turpmāk – atbildīgā amatpersona), un, ja nepieciešams, arī atbildīgo amatpersonu ārstniecības iestādes vai sociālās aprūpes institūcijas struktūrvienībās. Vakcīnu nodošana un saņemšana tiek veikta saskaņā ar šo noteikumu 14.</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14.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Ārstniecības iestāde saskaņā ar normatīvajiem aktiem par vakcināciju ir tiesīga nodot vakcīnas citai ārstniecības iestādei, ja ārstniecības iestāde nodrošina, ka: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1. ledusskapis, kurā tiek uzglabātas vakcīnas, ir aprīkots ar temperatūru reģistrējošu ierīci, kas nodrošina nepārtrauktu temperatūras fiksāciju un norāda periodus, kad īpašais temperatūras režīms netiek uzturēts. Temperatūras kontrole nodrošina atbilstoša temperatūras režīma uzturēšanu visās vakcīnu uzglabāšanas vietas daļās;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2. vakcīnu transportēšanas laikā tiek ievēroti vakcīnu uzglabāšanas apstākļi atbilstoši ražotāja noteiktajām prasībām."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H. Abu Meri</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24-TA-2188</w:t>
    </w:r>
    <w:r>
      <w:br/>
    </w:r>
    <w:r w:rsidR="00000000" w:rsidRPr="00000000" w:rsidDel="00000000">
      <w:rPr>
        <w:rtl w:val="0"/>
      </w:rPr>
      <w:t xml:space="preserve">Izdrukāts 29.07.2026. 22.20 - 1.0.VK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24-TA-2188</w:t>
    </w:r>
    <w:r>
      <w:br/>
    </w:r>
    <w:r w:rsidR="00000000" w:rsidRPr="00000000" w:rsidDel="00000000">
      <w:rPr>
        <w:rtl w:val="0"/>
      </w:rPr>
      <w:t xml:space="preserve">Izdrukāts 29.07.2026. 22.20 - 1.0.VK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noteikumu_(grozījumu)_projekts_24-TA-2188.docx</dc:title>
</cp:coreProperties>
</file>

<file path=docProps/custom.xml><?xml version="1.0" encoding="utf-8"?>
<Properties xmlns="http://schemas.openxmlformats.org/officeDocument/2006/custom-properties" xmlns:vt="http://schemas.openxmlformats.org/officeDocument/2006/docPropsVTypes"/>
</file>