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24. janvāra noteikumos Nr. 48 "Noteikumi par Uzturlīdzekļu garantiju fonda iesniedzēju un parādnieku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Uzturlīdzekļu garantiju fonda likuma</w:t>
      </w:r>
      <w:r>
        <w:br/>
      </w:r>
      <w:r w:rsidR="00000000" w:rsidRPr="00000000" w:rsidDel="00000000">
        <w:rPr>
          <w:rStyle w:val="paragraph"/>
          <w:i w:val="1"/>
          <w:rtl w:val="0"/>
        </w:rPr>
        <w:t xml:space="preserve"> 4. panta pirmās daļas 3. punktu,</w:t>
      </w:r>
      <w:r>
        <w:br/>
      </w:r>
      <w:r w:rsidR="00000000" w:rsidRPr="00000000" w:rsidDel="00000000">
        <w:rPr>
          <w:rStyle w:val="paragraph"/>
          <w:i w:val="1"/>
          <w:rtl w:val="0"/>
        </w:rPr>
        <w:t xml:space="preserve"> 5. panta pirmās daļas 4. punktu,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6. panta trešo daļu</w:t>
      </w:r>
      <w:r>
        <w:br/>
      </w:r>
      <w:r w:rsidR="00000000" w:rsidRPr="00000000" w:rsidDel="00000000">
        <w:rPr>
          <w:rStyle w:val="paragraph"/>
          <w:i w:val="1"/>
          <w:rtl w:val="0"/>
        </w:rPr>
        <w:t xml:space="preserve"> un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 65.</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24. janvāra noteikumos Nr. 48 "Noteikumi par Uzturlīdzekļu garantiju fonda iesniedzēju un parādnieku reģistru" (Latvijas Vēstnesis, 2017, 21.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Uzturlīdzekļu garantiju fonda likuma 4. panta pirmās daļas 3. punktu, 5. panta pirmās daļas 4. punktu, 5.</w:t>
      </w:r>
      <w:r w:rsidR="00000000" w:rsidRPr="00000000" w:rsidDel="00000000">
        <w:rPr>
          <w:vertAlign w:val="superscript"/>
          <w:rtl w:val="0"/>
        </w:rPr>
        <w:t xml:space="preserve">1</w:t>
      </w:r>
      <w:r w:rsidR="00000000" w:rsidRPr="00000000" w:rsidDel="00000000">
        <w:rPr>
          <w:rtl w:val="0"/>
        </w:rPr>
        <w:t xml:space="preserve"> panta trešo daļu, 6. panta trešo daļu un Bērnu tiesību aizsardzības likuma 65.</w:t>
      </w:r>
      <w:r w:rsidR="00000000" w:rsidRPr="00000000" w:rsidDel="00000000">
        <w:rPr>
          <w:vertAlign w:val="superscript"/>
          <w:rtl w:val="0"/>
        </w:rPr>
        <w:t xml:space="preserve">3</w:t>
      </w:r>
      <w:r w:rsidR="00000000" w:rsidRPr="00000000" w:rsidDel="00000000">
        <w:rPr>
          <w:rtl w:val="0"/>
        </w:rPr>
        <w:t xml:space="preserve">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fonda administrācija saņem, glabā un aktualizē no kredītinformācijas birojiem saņemtās ziņas par parādnieku."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informācija par parādnieka maksājumu saistību apmēru pret citiem kreditoriem (summa naudas izteiksmē ar norādi par valūtu) un šo saistību izpildes datumiem."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Reģistram ir nodrošināts tiešsaistes datu apmaiņas tehniskais risinājums ar kredītinformācijas birojiem, lai saņemtu un aktualizētu šo noteikumu 4.7. apakšpunktā minētās ziņas par visiem parādniekiem, veicot pastāvīgu datu monitoringu un aktuālās informācijas iegūšanu no kredītinformācijas birojiem."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Šo noteikumu 4.7. apakšpunktā minētās ziņas par parādnieku iekļauj reģistrā datu saņemšanas brīdī. Veicot pieprasījumu kredītinformācijas birojiem, parādnieka identifikācijai norāda personas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Šo noteikumu 4.7. apakšpunktā minētās ziņas fonda administrācija aktualizē ne retāk kā reizi mēnesī par visiem parādniekiem, kā arī gadījumā, ja fonda administrācijai nepieciešams izvērtēt, vai noteiktie uzturlīdzekļu parāda atmaksas nosacījumi atbilst parādnieka mantiskajam stāvoklim un maksātspējai un vai parādnieka papildus uzņemtās saistības nenorāda uz izvairīšanos no bērna uzturēšanas."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Reģistrā iekļautās ziņas katrā uzturlīdzekļu lietā dzēš ne vēlāk kā trīs gadu laikā no brīža, kad attiecīgajā lietā iestājies kāds no šiem apstākļiem: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parādnieks ir miris un iesniedzējam nav parāda par nepamatoti izmaksātajiem uzturlīdzekļiem un par tiem aprēķinātajiem likumiskajiem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uzturlīdzekļu izmaksa parādnieka vietā ir izbeigta, parāds fondam ir pilnībā segts un iesniedzējam nav parāda par nepamatoti izmaksātajiem uzturlīdzekļiem un par tiem aprēķinātajiem likumiskajiem procentiem;".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Noteikumu 1.5. apakšpunkts, 4.7. apakšpunkts un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punkts stājas spēkā 2024. gada 1. februārī."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23-TA-3056</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23-TA-3056</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noteikumu_(grozījumu)_projekts_23-TA-3056.docx</dc:title>
</cp:coreProperties>
</file>

<file path=docProps/custom.xml><?xml version="1.0" encoding="utf-8"?>
<Properties xmlns="http://schemas.openxmlformats.org/officeDocument/2006/custom-properties" xmlns:vt="http://schemas.openxmlformats.org/officeDocument/2006/docPropsVTypes"/>
</file>