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Ceļu satiksmes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10. panta desmito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Reģistrējot transportlīdzekli, kura izlaiduma gads ir kārtējais gads vai pieci iepriekšējie gadi un kura kategorija ir M1 (tai skaitā M1G) vai N1 (tai skaitā N1G), un kurš iegādāts citā Eiropas Savienības dalībvalstī un tiek pirmoreiz reģistrēts Latvijā vai kurš pēc tā pirmās reģistrācijas Latvijā atkārtoti iegādāts citā Eiropas Savienības dalībvalstī un tiek atkārtoti reģistrēts Latvijā, Ceļu satiksmes drošības direkcija informāciju par reģistrēto transportlīdzekli elektroniski nodod Valsts ieņēmumu dienestam un vienlaikus ar transportlīdzekļa reģistrāciju reģistrē atsavināšanas aizliegumu: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juridiskās personas īpašumā reģistrētajam transportlīdzeklim uz 15 dienām;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fiziskās personas īpašumā reģistrētajam transportlīdzeklim uz 30 dienām."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11. panta pirmās daļas 1. punktu ar teikumu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reģistrē Eiropas Savienības dalībvalstī iegādātu transportlīdzekli, iesniedzējs iesniegumā norāda ziņas par transportlīdzekļa iegādes valsti, datumu, samaksas veidu, darījuma summu, pārdevēju, pievienojot īpašumtiesību maiņu apliecinošu dokumentu un apliecinājumu par veikto samaksu, un tajā sniegto ziņu patiesumu apliecina ar savu parakstu."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likumu "Par valsts budžetu 2023. gadam un budžeta ietvaru 2023., 2024. un 2025.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22-TA-2312</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22-TA-2312</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likumprojekts_(grozījumi)_22-TA-2312.docx</dc:title>
</cp:coreProperties>
</file>

<file path=docProps/custom.xml><?xml version="1.0" encoding="utf-8"?>
<Properties xmlns="http://schemas.openxmlformats.org/officeDocument/2006/custom-properties" xmlns:vt="http://schemas.openxmlformats.org/officeDocument/2006/docPropsVTypes"/>
</file>