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septembra noteikumos Nr. 572 "Valsts un Eiropas Savienības atbalsta piešķiršanas kārtība pasākumā "Investīcijas zvejas un akvakultūras produktu apstrādē""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septembra noteikumos Nr. 572 "Valsts un Eiropas Savienības atbalsta piešķiršanas kārtība pasākumā "Investīcijas zvejas un akvakultūras produktu apstrādē"" (Latvijas Vēstnesis, 2022, 180. nr.; 2024, 61.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Eiropas Parlamenta un Padomes 2013. gada 11. decembra Regulu (ES) Nr. 1379/2013 par zvejas un akvakultūras produktu tirgu kopīgo organizāciju un ar ko groza Padomes Regulas (EK) Nr. 1184/2006 un (EK) Nr. 1224/2009 un atceļ Padomes Regulu (EK) Nr. 104/2000 (turpmāk – regula Nr. 1379/2013)."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Šo noteikumu izpratnē: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tehnikas un iekārtu katalogs ir Lauku atbalsta dienesta elektroniskās pieteikšanās sistēmas elektroniskais rīks, ko izmanto tehnikas un iekārtu izmaksu standarta likmes noteikšanai atbilstoši regulas 2021/1060 53. panta 1. punkta "b" apakšpunktam un 3. punkta "d"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termins "akvakultūras produkti" atbilst regulas Nr. 1379/2013 5. panta "b" apakšpunktā minētajai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esošs komersants, kas veido jaunu zvejas produktu apstrādes uzņēmumu, jaundibināts komersants, kas veido jaunu zvejas produktu apstrādes uzņēmumu vai projektā paredz ieguldījumus akvakultūras produktu apstrādei un kura pirmais pārskata vai taksācijas gads vēl nav beidzies, vai fiziska vai juridiska persona, kas plāno mājas apstākļos apstrādāt zvejas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komersants, kas projektā paredz ieguldījumus akvakultūras produktu apstrādei un ir atbilstoši reģistrēts Pārtikas un veterinārā dienesta uzraudzībai pakļauto uzņēmumu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palielina uzņēmumā apstrādātās zvejas un akvakultūras produkcijas gada neto apgrozījumu;".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pretendents projektā neparedz ieguldījumus, lai palielinātu uzņēmumā apstrādātās produkcijas gada neto apgrozījumu vai uzlabotu resursu izmantošanas efektivitāti apstrādē, pretendents pēc projekta īstenošanas sasniedz vismaz vienu no rezultāta rādītājiem saskaņā ar regulas 2021/1139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Šo noteikumu 5.1., 5.2. un 5.4. apakšpunktā minētais pretendents, ja projekta kopējā attiecināmo izmaksu summa pārsniedz 150 000 </w:t>
      </w:r>
      <w:r w:rsidR="00000000" w:rsidRPr="00000000" w:rsidDel="00000000">
        <w:rPr>
          <w:i w:val="1"/>
          <w:rtl w:val="0"/>
        </w:rPr>
        <w:t xml:space="preserve">euro</w:t>
      </w:r>
      <w:r w:rsidR="00000000" w:rsidRPr="00000000" w:rsidDel="00000000">
        <w:rPr>
          <w:rtl w:val="0"/>
        </w:rPr>
        <w:t xml:space="preserve">, un šo noteikumu 5.3. apakšpunktā minētais pretendents Lauku atbalsta dienestā iesniedz finanšu informāciju par saimnieciskās darbības veicēja ieņēmumiem un izdevumiem pēdējā noslēgtajā gadā un izvērstu finanšu informāciju par saimnieciskās darbības veicēja ieņēmumiem un izdevumiem par gadu, kad tiek plānots sasniegt šo noteikumu 8. un 9. punktā minētos rādītājus. Iesniegtā finanšu informācija pierāda saimnieciskās darbības veicēja ekonomisko dzīvotspēju pēdējā noslēgtajā gadā un gadā, kad tiek sasniegti šo noteikumu 8. un 9. punktā minētie radītāji, kā arī pamato ieguldījumu saistību ar sasniedzamajiem rādītājiem. Ekonomisko dzīvotspēju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pēdējā noslēgtajā gadā – atbilstība vismaz diviem no šādiem ekonomiskās dzīvotspējas rādītājiem: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pašu kapitāla attiecība pret aktīvu kopsummu ir vismaz 0,20;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apgrozāmo līdzekļu attiecība pret īstermiņa kreditoru saistībām ir vismaz 1,00. Nākamā perioda ieņēmumu daļā ietvertais valsts un Eiropas Savienības atbalsts nav uzskatāms par īstermiņa kreditoru saistībām;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16.1.3. saskaitot tīro peļņu un nolietojumu, kas reizināts ar 50 procentiem, summa ir vismaz nulle;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šo noteikumu 8. un 9. punktā minētā rādītāja sasniegšanas gadā – pozitīvs ieņēmumu un izdevumu kopsavilkums."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Šo noteikumu 5.1., 5.2. un 5.4. apakšpunktā minētais pretendents, ja projekta kopējā attiecināmo izmaksu summa pārsniedz 150 000 </w:t>
      </w:r>
      <w:r w:rsidR="00000000" w:rsidRPr="00000000" w:rsidDel="00000000">
        <w:rPr>
          <w:i w:val="1"/>
          <w:rtl w:val="0"/>
        </w:rPr>
        <w:t xml:space="preserve">euro</w:t>
      </w:r>
      <w:r w:rsidR="00000000" w:rsidRPr="00000000" w:rsidDel="00000000">
        <w:rPr>
          <w:rtl w:val="0"/>
        </w:rPr>
        <w:t xml:space="preserve">, un šo noteikumu 5.3. apakšpunktā minētais pretendents Lauku atbalsta dienestā papildus iesniedz biznesa plānu, kurā ietver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saimnieciskās darbības veicēja pašreizējo darbību un mērķiem;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tirgus un konkurentu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ieguldījumu saistību ar sasniedzamajiem rādītājiem;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produkta ražošanas tehnoloģisko procesu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projektā plānotās produkcijas realizāciju;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projektā paredzētajām apstrādes tehnoloģijām, tās izvērsti aprakstot un atšifrējot katras izmaksu pozīcijas nozīmi kopējā apstrādes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projektā paredzēto apstrādes procesu un tā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 sadarbības partneriem,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galvenajiem riska faktoriem un plānotajiem pasākumiem to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šo noteikumu 5.1. un 5.4. apakšpunktā minētajam pretendentam attiecināmo izmaksu summa vienā projektā nepārsniedz summu, ko aprēķina, pie 250 000 </w:t>
      </w:r>
      <w:r w:rsidR="00000000" w:rsidRPr="00000000" w:rsidDel="00000000">
        <w:rPr>
          <w:i w:val="1"/>
          <w:rtl w:val="0"/>
        </w:rPr>
        <w:t xml:space="preserve">euro </w:t>
      </w:r>
      <w:r w:rsidR="00000000" w:rsidRPr="00000000" w:rsidDel="00000000">
        <w:rPr>
          <w:rtl w:val="0"/>
        </w:rPr>
        <w:t xml:space="preserve">pieskaitot piecreiz lielāku pretendenta neto apgrozījumu iepriekšējā pārskata gadā pirms projekta iesnieguma iesniegšanas, kā arī pieskaitot pretendenta saistīto uzņēmumu neto apgrozījumu iepriekšējā pārskata gadā pirms projekta iesnieguma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kopā ar projekta iesniegumu vai sešu mēnešu laikā pēc lēmuma pieņemšanas par projekta iesnieguma apstiprināšanu – kredītiestādes, līzinga sabiedrības vai krājaizdevumu sabiedrības lēmumu par kredīta piešķiršanu, ja projekta īstenošanai tiks ņemts kredīts, vai dokumentus, kas pierāda naudas līdzekļu pieejamību, ja projekta īstenošanā pretendents plāno ieguldīt privātos (izņemot kredītu) naudas līdzekļus, – par projektiem, kuru kopējā attiecināmo izmaksu summa pārsniedz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atbalsta saņēmējs ir šo noteikumu 5.3. apakšpunktā minētais pretendents, tas maksājumu saņem pēc pilnīgas projekta īstenošanas un zvejas produktu apstrādes atzīšanas Pārtikas un veterinārajā dienestā vai – ja projektā bijuši ieguldījumi akvakultūras produktu apstrādei – pēc atbilstošas reģistrācijas Pārtikas un veterinārā dienesta uzraudzībai pakļauto uzņēmumu reģistrā."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24-TA-3262</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24-TA-3262</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noteikumu_(grozījumu)_projekts_24-TA-3262.docx</dc:title>
</cp:coreProperties>
</file>

<file path=docProps/custom.xml><?xml version="1.0" encoding="utf-8"?>
<Properties xmlns="http://schemas.openxmlformats.org/officeDocument/2006/custom-properties" xmlns:vt="http://schemas.openxmlformats.org/officeDocument/2006/docPropsVTypes"/>
</file>