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781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10. decembrī (prot. Nr. 52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20. decembra noteikumos Nr. 812 "Oficiālās statistikas veidlapu paraugu apstiprināšanas un veidlapu aizpildīšanas un iesniegšanas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Statistikas likuma</w:t>
      </w:r>
      <w:r w:rsidR="00000000" w:rsidRPr="00000000" w:rsidDel="00000000">
        <w:rPr>
          <w:rStyle w:val="paragraph"/>
          <w:i w:val="1"/>
          <w:rtl w:val="0"/>
        </w:rPr>
        <w:t xml:space="preserve"> 11.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20. decembra noteikumos Nr. 812 "Oficiālās statistikas veidlapu paraugu apstiprināšanas un veidlapu aizpildīšanas un iesniegšanas noteikumi" (Latvijas Vēstnesis, 2016, 251. nr.; 2017, 255. nr.; 2019, 34. nr.; 2020, 7., 230. nr.; 2021, 249. nr.; 2022, 230. nr.; 2023, 228.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veidlapa Nr. 1-enerģētika "Pārskats par elektroenerģijas ražošanu, pārvadi un sadali 20__. gadā", kura nodrošina arī Eiropas Parlamenta un Padomes 2008. gada 22. oktobra Regulas Nr. 1099/2008 par enerģētikas statistiku (turpmāk – Eiropas Parlamenta un Padomes Regula Nr. 1099/2008), Komisijas 2022. gada 18. janvāra Regulas (ES) Nr. 2022/132, ar ko attiecībā uz ikgadējās, ikmēneša un ikmēneša īstermiņa enerģētikas statistikas atjauninājumu īstenošanu groza Eiropas Parlamenta un Padomes Regulu (EK) Nr. 1099/2008 par enerģētikas statistiku (Dokuments attiecas uz EEZ) (turpmāk – Komisijas Regula Nr. 2022/132), un Komisijas 2024. gada 17. janvāra Regulas (ES) Nr. 2024/264, ar ko attiecībā uz ikgadējās, ikmēneša un ikmēneša īstermiņa enerģētikas statistikas atjauninājumu īstenošanu groza Eiropas Parlamenta un Padomes Regulu (EK) Nr. 1099/2008 par enerģētikas statistiku (Dokuments attiecas uz EEZ) (turpmāk – Komisijas Regula Nr. 2024/264), prasību piemērošanu (9.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 veidlapa Nr. 1-enerģija "Pārskats par siltumenerģijas un elektroenerģijas ražošanu 20__. gadā", kura nodrošina arī Komisijas 2017. gada 9. novembra Regulas (ES) 2017/2010, ar ko attiecībā uz ikgadējās un ikmēneša enerģētikas statistikas atjauninājumiem groza Eiropas Parlamenta un Padomes Regulu Nr. 1099/2008 par enerģētikas statistiku (turpmāk – Komisijas Regula Nr. 2017/2010), un Komisijas Regulas Nr. 2024/264 prasību piemērošanu (10.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veidlapa Nr. 1-gāze "Pārskats par dabasgāzes izmantošanu 20__. gadā", kura nodrošina arī Eiropas Parlamenta un Padomes Regulas Nr. 1099/2008 un Komisijas Regulas Nr. 2024/264 prasību piemērošanu (13.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veidlapa Nr. 1-IKT un e-komercija "Pārskats par informācijas un komunikācijas tehnoloģiju izmantošanu uzņēmumos", kura nodrošina arī Eiropas Parlamenta un Padomes Regulas Nr. 2019/2152 un Komisijas 2024. gada 9. jūlija Īstenošanas regulas (ES) Nr. 2024/1883, ar ko saskaņā ar Eiropas Parlamenta un Padomes Regulu (ES) 2019/2152 tematam "Informācijas un komunikācijas tehnoloģiju izmantojums un e-komercija" nosaka datu prasību tehniskās specifikācijas un metadatu un kvalitātes ziņojumu iesniegšanas termiņus 2025. pārskata gadam (Dokuments attiecas uz EEZ) (turpmāk – Komisijas Īstenošanas regula Nr. 2024/1883), prasību piemērošanu (16.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veidlapa Nr. 1-puķes un stādi "Pārskats par puķkopību un stādu audzēšanu", kura nodrošina arī Eiropas Parlamenta un Padomes 2009. gada 18. jūnija Regulas (EK) Nr. 543/2009, kas attiecas uz statistiku par augkopības kultūrām un ar ko atceļ Padomes Regulas (EEK) Nr. 837/90 un (EEK) Nr. 959/93 (turpmāk – Eiropas Parlamenta un Padomes Regula Nr. 543/2009), Komisijas 2015. gada 13. jūlija Deleģētās regulas Nr. 2015/1557, ar ko attiecībā uz statistiku par augkopības kultūrām groza Eiropas Parlamenta un Padomes Regulu (EK) Nr. 543/2009 (turpmāk – Komisijas Deleģētā regula Nr. 2015/1557), Eiropas Parlamenta un Padomes 2022. gada 23. novembra Regulas (ES) Nr. 2022/2379 par statistiku par lauksaimniecības ielaidi un izlaidi un ar ko groza Komisijas Regulu (EK) Nr. 617/2008 un atceļ Eiropas Parlamenta un Padomes Regulas (EK) Nr. 1165/2008, (EK) Nr. 543/2009 un (EK) Nr. 1185/2009 un Padomes Direktīvu 96/16/EK (Dokuments attiecas uz EEZ) (turpmāk – Eiropas Parlamenta un Padomes Regula Nr. 2022/2379), un Komisijas 2023. gada 25. jūlija Īstenošanas regulas (ES) Nr. 2023/1538, ar ko paredz noteikumus par to, kā Eiropas Parlamenta un Padomes Regulu (ES) 2022/2379 piemēro attiecībā uz augkopības produkcijas statistiku (Dokuments attiecas uz EEZ), prasību piemērošanu (24.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veidlapa Nr. 2-EK "Pārskats par enerģētisko resursu iegādi un izlietošanu 202_. gadā", kura nodrošina arī Eiropas Parlamenta un Padomes Regulas Nr. 1099/2008, Komisijas Regulas Nr. 2022/132 un Komisijas Regulas Nr. 2024/264 prasību piemērošanu (32.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veidlapa Nr. 21-LS (augkopība) "Pārskats par augkopības produktu pārdošanu", kura nodrošina arī Eiropas Parlamenta un Padomes Regulas Nr. 138/2004, Eiropas Parlamenta un Padomes Regulas Nr. 2022/2379 un Komisijas 2023. gada 31. jūlija Īstenošanas regulas (ES) Nr. 2023/1579, ar ko paredz noteikumus par to, kā Eiropas Parlamenta un Padomes Regulu (ES) 2022/2379 piemēro attiecībā uz lauksaimniecības produktu cenu statistiku (Dokuments attiecas uz EEZ), prasību piemērošanu (81.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"2.94. veidlapa Nr. 1-piens "Pārskats par piena produktu ražošanu", kura nodrošina arī Eiropas Parlamenta un Padomes Regulas Nr. 2022/2379 prasību piemērošanu (94.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2.100.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"2.100. veidlapa Nr. 2-bunkurēšana "Pārskats par naftas produktu piegādi kuģiem un lidmašīnām", kura nodrošina arī Eiropas Parlamenta un Padomes Regulas Nr. 1099/2008 un Komisijas Regulas Nr. 2024/264 prasību piemērošanu (100.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2.102.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"2.102. veidlapa Nr. 2-cietie kurināmie "Pārskats par cieto kurināmo importu, ražošanu un realizāciju", kura nodrošina arī Eiropas Parlamenta un Padomes Regulas Nr. 1099/2008 un Komisijas Regulas Nr. 2024/264 prasību piemērošanu (102.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2.104.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"2.104. veidlapa Nr. 2-enerģētika "Pārskats par elektroenerģijas ražošanu, importu un eksportu", kura nodrošina arī Eiropas Parlamenta un Padomes Regulas Nr. 1099/2008 un Komisijas Regulas Nr. 2024/264 prasību piemērošanu (104.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2.105.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"2.105. veidlapa Nr. 2-gāze "Pārskats par dabas gāzes izmantošanu", kura nodrošina arī Eiropas Parlamenta un Padomes Regulas Nr. 1099/2008 un Komisijas Regulas Nr. 2024/264 prasību piemērošanu (105.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2.106.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"2.106. veidlapa Nr. 2-koģenerācija "Pārskats par koģenerācijas stacijas darbību", kura nodrošina arī Eiropas Parlamenta un Padomes Regulas Nr. 1099/2008 un Komisijas Regulas Nr. 2024/264 prasību piemērošanu (106.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2.116.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"2.116. veidlapa Nr. IKT-personas "Interneta lietošana 2025. gadā", kura nodrošina arī Eiropas Parlamenta un Padomes Regulas Nr. 2019/1700 prasību piemērošanu (116.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2.123.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"2.123. veidlapa Nr. 2-inovācijas "Inovācijas uzņēmējdarbībā", kura nodrošina arī Eiropas Parlamenta un Padomes Regulas Nr. 2019/2152 un Komisijas 2022. gada 30. jūnija Īstenošanas regulas (ES) Nr. 2022/1092, ar ko nosaka datu prasību tehniskās specifikācijas tematam "Inovācija" saskaņā ar Eiropas Parlamenta un Padomes Regulu (ES) 2019/2152 (Dokuments attiecas uz EEZ) (turpmāk – Komisijas Īstenošanas regula Nr. 2022/1092), prasību piemērošanu (123.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2.141.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"2.141. veidlapa Nr. 1-MBA "Mājsaimniecību budžeta apsekojums", kura nodrošina arī Eiropas Parlamenta un Padomes 2016. gada 11. maija Regulas (ES) 2016/792 par saskaņotajiem patēriņa cenu indeksiem un mājokļu cenu indeksu un ar ko atceļ Padomes Regulu (EK) Nr. 2494/95 (turpmāk – Eiropas Parlamenta un Padomes Regula Nr. 2016/792), Eiropas Parlamenta un Padomes Regulas Nr. 2019/1700 un Komisijas 2022. gada 21. oktobra Deleģētās regulas (ES) Nr. 2023/126, ar ko Eiropas Parlamenta un Padomes Regulu (ES) 2019/1700 papildina, precizējot patēriņa jomas mainīgo lielumu skaitu un nosaukumus (Dokuments attiecas uz EEZ) (turpmāk – Komisijas Deleģētā regula Nr. 2023/126), prasību piemērošanu (141.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2.143.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"2.143. veidlapa Nr. 2-MBA "Mājsaimniecību budžeta apsekojums", kura nodrošina arī Eiropas Parlamenta un Padomes Regulas Nr. 2016/792, Eiropas Parlamenta un Padomes Regulas Nr. 2019/1700 un Komisijas Deleģētās regulas Nr. 2023/126 prasību piemērošanu (143.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2.150.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"2.150. veidlapa Nr. 1-EIVA "Eiropas iedzīvotāju veselības apsekojums", kura nodrošina arī Komisijas 2018. gada 19. februāra Regulas (ES) 2018/255, ar ko attiecībā uz statistiku, kas balstīta uz Eiropas veselības apsekojumu (</w:t>
      </w:r>
      <w:r w:rsidR="00000000" w:rsidRPr="00000000" w:rsidDel="00000000">
        <w:rPr>
          <w:i w:val="1"/>
          <w:rtl w:val="0"/>
        </w:rPr>
        <w:t xml:space="preserve">EHIS</w:t>
      </w:r>
      <w:r w:rsidR="00000000" w:rsidRPr="00000000" w:rsidDel="00000000">
        <w:rPr>
          <w:rtl w:val="0"/>
        </w:rPr>
        <w:t xml:space="preserve">), īsteno Eiropas Parlamenta un Padomes Regulu (EK) Nr. 1338/2008, Eiropas Parlamenta un Padomes Regulas Nr. 2019/1700 un Komisijas 2023. gada 17. novembra Īstenošanas regulas (ES) Nr. 2023/2529, ar ko saskaņā ar Eiropas Parlamenta un Padomes Regulu (ES) 2019/1700 precizē datu kopas tehniskos aspektus, nosaka informācijas nosūtīšanas tehniskos formātus un precizē kvalitātes ziņojumu detalizētu sagatavošanas kārtību un saturu par izlases apsekojuma organizēšanu veselības jomā (Dokuments attiecas uz EEZ), prasību piemērošanu (150.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2.165.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"2.165. veidlapa Nr. 1-IKT un e-komercija konsolidētais "Konsolidētais pārskats par informācijas un komunikācijas tehnoloģiju izmantošanu uzņēmumos", kura nodrošina arī Eiropas Parlamenta un Padomes Regulas Nr. 2019/2152, Komisijas Īstenošanas regulas Nr. 2023/1507 un Komisijas Īstenošanas regulas Nr. 2024/1883 prasību piemērošanu (165.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2.169.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"2.169. veidlapa Nr. 2-DSA (2024) "Jaunieši darba tirgū", kura nodrošina arī Eiropas Parlamenta un Padomes Regulas Nr. 2019/1700 un Komisijas 2022. gada 25. novembra Īstenošanas regulas (ES) Nr. 2022/2312 par darbaspēka jomas detalizēto tematu "jaunieši darba tirgū", "izglītības līmenis – sīka informācija, tostarp pārtraukta vai izbeigta izglītība" un "darba un ģimenes dzīves saskaņošana" astoņu gadu mainīgajiem lielumiem saskaņā ar Eiropas Parlamenta un Padomes Regulu (ES) 2019/1700 (Dokuments attiecas uz EEZ) (turpmāk – Komisijas Īstenošanas regula Nr. 2022/2312) prasību piemērošanu (169.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2.171.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"2.171. veidlapa Nr. 4-EU-SILC (2025) "Veselība, vide un energoefektivitāte", kura nodrošina arī Eiropas Parlamenta un Padomes Regulas Nr. 2019/1700, Komisijas Īstenošanas regulas Nr. 2019/2242, Komisijas 2020. gada 17. novembra Īstenošanas regulas (ES) Nr. 2020/1721, ar ko saskaņā ar Eiropas Parlamenta un Padomes Regulu (ES) 2019/1700 precizē izlases apsekojuma ienākumu un dzīves apstākļu jomā par veselību un dzīves kvalitāti datu kopu tehniskos aspektus (Dokuments attiecas uz EEZ), un Komisijas 2023. gada 17. novembra Īstenošanas regulas (ES) Nr. 2023/2527, ar ko nosaka 2025. gada </w:t>
      </w:r>
      <w:r w:rsidR="00000000" w:rsidRPr="00000000" w:rsidDel="00000000">
        <w:rPr>
          <w:i w:val="1"/>
          <w:rtl w:val="0"/>
        </w:rPr>
        <w:t xml:space="preserve">ad hoc </w:t>
      </w:r>
      <w:r w:rsidR="00000000" w:rsidRPr="00000000" w:rsidDel="00000000">
        <w:rPr>
          <w:rtl w:val="0"/>
        </w:rPr>
        <w:t xml:space="preserve">temata "Enerģētika un vide" datu kopu tehniskos aspektus Eiropas Parlamenta un Padomes Regulā (ES) 2019/1700 noteiktajā ienākumu un dzīves apstākļu jomā (Dokuments attiecas uz EEZ), prasību piemērošanu (171.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2.172.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"2.172. veidlapa Nr. 2-inovācijas konsolidētais "Konsolidētais pārskats par inovācijām uzņēmējdarbībā", kura nodrošina arī Eiropas Parlamenta un Padomes Regulas Nr. 2019/2152 un Komisijas Īstenošanas regulas Nr. 2022/1092 prasību piemērošanu (172.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2.173.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"2.173. veidlapa Nr. 2-DSA (2025) "Darba un ģimenes dzīves saskaņošana", kura nodrošina arī Eiropas Parlamenta un Padomes Regulas Nr. 2019/1700 un Komisijas Īstenošanas regulas Nr. 2022/2312 prasību piemērošanu (173.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2.174.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"2.174. veidlapa Nr. 2-EK konsolidētais "Konsolidētais pārskats par enerģētisko resursu iegādi un izlietošanu 202_. gadā", kura nodrošina arī Eiropas Parlamenta un Padomes Regulas Nr. 1099/2008 un Komisijas Regulas Nr. 2022/132 prasību piemērošanu. (174.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Šo noteikumu 2.37., 2.44., 2.110., 2.111., 2.112., 2.114., 2.115., 2.116., 2.117., 2.150., 2.151., 2.155., 2.157., 2.166., 2.167., 2.169., 2.171. un 2.173. apakšpunktā minētās oficiālās statistikas veidlapas var aizpildīt pārvaldes intervētājs, pamatojoties uz respondenta mutiski sniegto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24.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30.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32.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81.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89.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91.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94.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110.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111. pielikumu jaunā redakcijā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112. pielikumu jaunā redakcijā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114. pielikumu jaunā redakcijā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116. pielikumu jaunā redakcijā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122. pielikumu jaunā redakcijā (</w:t>
      </w:r>
      <w:r w:rsidR="00000000" w:rsidRPr="00000000" w:rsidDel="00000000">
        <w:rPr>
          <w:rtl w:val="0"/>
        </w:rPr>
        <w:t xml:space="preserve">14.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123. pielikumu jaunā redakcijā (</w:t>
      </w:r>
      <w:r w:rsidR="00000000" w:rsidRPr="00000000" w:rsidDel="00000000">
        <w:rPr>
          <w:rtl w:val="0"/>
        </w:rPr>
        <w:t xml:space="preserve">15.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141. pielikumu jaunā redakcijā (</w:t>
      </w:r>
      <w:r w:rsidR="00000000" w:rsidRPr="00000000" w:rsidDel="00000000">
        <w:rPr>
          <w:rtl w:val="0"/>
        </w:rPr>
        <w:t xml:space="preserve">16.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143. pielikumu jaunā redakcijā (</w:t>
      </w:r>
      <w:r w:rsidR="00000000" w:rsidRPr="00000000" w:rsidDel="00000000">
        <w:rPr>
          <w:rtl w:val="0"/>
        </w:rPr>
        <w:t xml:space="preserve">17.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150. pielikumu jaunā redakcijā (</w:t>
      </w:r>
      <w:r w:rsidR="00000000" w:rsidRPr="00000000" w:rsidDel="00000000">
        <w:rPr>
          <w:rtl w:val="0"/>
        </w:rPr>
        <w:t xml:space="preserve">18.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165. pielikumu jaunā redakcijā (</w:t>
      </w:r>
      <w:r w:rsidR="00000000" w:rsidRPr="00000000" w:rsidDel="00000000">
        <w:rPr>
          <w:rtl w:val="0"/>
        </w:rPr>
        <w:t xml:space="preserve">19.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Papildināt ar 171. pielikumu (</w:t>
      </w:r>
      <w:r w:rsidR="00000000" w:rsidRPr="00000000" w:rsidDel="00000000">
        <w:rPr>
          <w:rtl w:val="0"/>
        </w:rPr>
        <w:t xml:space="preserve">20.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172. pielikumu (</w:t>
      </w:r>
      <w:r w:rsidR="00000000" w:rsidRPr="00000000" w:rsidDel="00000000">
        <w:rPr>
          <w:rtl w:val="0"/>
        </w:rPr>
        <w:t xml:space="preserve">21.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Papildināt ar 173. pielikumu (</w:t>
      </w:r>
      <w:r w:rsidR="00000000" w:rsidRPr="00000000" w:rsidDel="00000000">
        <w:rPr>
          <w:rtl w:val="0"/>
        </w:rPr>
        <w:t xml:space="preserve">22.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Papildināt ar 174. pielikumu (</w:t>
      </w:r>
      <w:r w:rsidR="00000000" w:rsidRPr="00000000" w:rsidDel="00000000">
        <w:rPr>
          <w:rtl w:val="0"/>
        </w:rPr>
        <w:t xml:space="preserve">23.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24-TA-1736</w:t>
    </w:r>
    <w:r>
      <w:br/>
    </w:r>
    <w:r w:rsidR="00000000" w:rsidRPr="00000000" w:rsidDel="00000000">
      <w:rPr>
        <w:rtl w:val="0"/>
      </w:rPr>
      <w:t xml:space="preserve">Izdrukāts 29.07.2026. 22.27 - 1.0.VK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24-TA-1736</w:t>
    </w:r>
    <w:r>
      <w:br/>
    </w:r>
    <w:r w:rsidR="00000000" w:rsidRPr="00000000" w:rsidDel="00000000">
      <w:rPr>
        <w:rtl w:val="0"/>
      </w:rPr>
      <w:t xml:space="preserve">Izdrukāts 29.07.2026. 22.27 - 1.0.VK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noteikumu_(grozījumu)_projekts_24-TA-1736.docx</dc:title>
</cp:coreProperties>
</file>

<file path=docProps/custom.xml><?xml version="1.0" encoding="utf-8"?>
<Properties xmlns="http://schemas.openxmlformats.org/officeDocument/2006/custom-properties" xmlns:vt="http://schemas.openxmlformats.org/officeDocument/2006/docPropsVTypes"/>
</file>