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17.06.2025. noteikumu Nr. 365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pasākuma pirmās kārtas ietvaros paredzēts biedrībām, kas pārstāv šādu nozaru komersantus: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Apstrādes rūpniecība (saskaņā ar NACE 2.1. red. C sadaļu) un šādas apstrādes rūpniecības apakšnozares: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kokrūpniecība;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mašīnbūve un metālapstrāde;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elektrisko un optisko iekārtu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ķīmiskā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pārtikas un dzērienu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būvindustrija;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vieglā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papīra ražošana un poligrāfija.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Informācijas un komunikācijas tehnoloģiju nozare (ierobežojumus nosaka saskaņā ar NACE 2.1. red. K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Izmitināšanas un ēdināšanas pakalpojumi (ierobežojumus nosaka saskaņā ar NACE 2.1. red. I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Finanšu un apdrošināšanas darbības (ierobežojumus nosaka saskaņā ar NACE 2.1. red. L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Profesionālie, zinātniskie un tehniskie pakalpojumi (ierobežojumus nosaka saskaņā ar NACE 2.1. red. N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Administratīvo un apkalpojošo dienestu darbība (ierobežojumus nosaka saskaņā ar NACE 2.1. red. O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Energoapgāde un telekomunikācija (ierobežojumus nosaka saskaņā ar NACE 2.1. red. D un K sadaļu).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25-TA-2050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25-TA-2050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noteikumu_konsolidētā_versija_p1_25-TA-2050.docx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