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Aktualizētais Nacionālais enerģētikas un klimata plāns 2021.–2030.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aktualizēto Nacionālo enerģētikas un klimata plānu 2021.–2030.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Ekonomikas ministriju, Finanšu ministriju, Izglītības un zinātnes ministriju, Klimata un enerģētikas ministriju, Satiksmes ministriju, Viedās administrācijas un reģionālās attīstības ministriju un Zemkopības ministriju par atbildīgajām ministrijām plāna ieviešanā, pasākumu aktualizācijā un plāna atjaunināšanā. Minētajām institūcijām plānā paredzētos pasākumus īstenot sadarbībā ar plānošanas reģioniem, pašvaldībām, iesaistītajām pusēm un Sabiedrisko pakalpojumu regulēšanas komisiju.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sadarbībā ar šā rīkojuma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noteiktajām atbildīgajām ministrijām, izstrādājot informatīvo ziņojumu "Par siltumnīcefekta gāzu emisiju samazināšanas un oglekļa dioksīda piesaistes saistību izpildi", sagatavot priekšlikumus par izmaksu efektīviem pasākumiem tajās nozarēs, kurās ir identificējami riski siltumnīcefekta gāzu emisiju</w:t>
      </w:r>
      <w:r w:rsidR="00000000" w:rsidRPr="00000000" w:rsidDel="00000000">
        <w:rPr>
          <w:rtl w:val="0"/>
        </w:rPr>
        <w:t xml:space="preserve"> samazināšanai noteikto mērķa vērtību sasniegšanā.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Ministru kabineta Enerģētikas, vides un klimata jautājumu tematiskā komiteja ne retāk kā reizi ceturksnī izskata plāna īstenošanas progresu, tai skaitā pasākumu aktualizāciju un plāna atjaunināšanu.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plāna īstenošanu koordinē un uzrauga Nacionālā enerģētikas un klimata padome.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Nozaru ministrijām, kuru politikas plānošanas dokumenti norādīti plāna 1.3. nodaļā, to ikgadējos,  starpposma vai gala novērtējumos sniegt informāciju par īstenotajiem pasākumiem un siltumnīcefekta gāzu emisiju samazināšanas vai oglekļa dioksīda piesaistes skaitliskajām vērtībām un saskaņot tos ar Klimata un enerģētikas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Nozaru ministrijām, plānojot pētījumus par nozares politikas attīstības virzieniem, tajos ietvert jaunās politikas ietekmes analīzi uz enerģētikas un klimata politikas plānoto mērķa vērtību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Nozaru ministrijām, izstrādājot vai grozot atbilstošos politikas plānošanas dokumentus un tiesību aktus, Eiropas Savienības fondu, Emisiju kvotu izsoles instrumenta vai cita publiskā finansējuma apguvei noteiktos politikas plānošanas dokumentus vai tiesību aktus, kā arī izstrādājot ar likumprojektu par valsts budžetu kārtējam gadam un vidēja termiņa budžeta ietvaru saistītos nozaru tiesību aktus, ņemt vērā plānā noteiktos mērķus, pasākumus un to ieviešanai paredzētos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Klimata un enerģētikas ministrijai līdz 2024. gada 1. septembrim apkopot un iesniegt atbildīgajām ministrijām plāna saskaņošanas procesā saņemtos iebildumus un priekšlikumus, kas ir ārpus plāna tvēruma, izskatīšanai attiecīgajās Nacionālās enerģētikas un klimata padomes darba grupās.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Ekonomikas ministrijai, Klimata un enerģētikas ministrijai, Satiksmes ministrijai un Zemkopības ministrijai ar 2024. gada 1. septembri ne retāk kā reizi ceturksnī sasaukt Nacionālās enerģētikas un klimata padomes darba grupas un Aprites ekonomikas un atkritumu apsaimniekošanas darba grupu, lai novērtētu plāna īstenošanas progresu un izskatītu attiecīgos šā rīkojuma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minētos iebildumus un priekšlikumus. Divu nedēļu laikā pēc iepriekš minēto darba grupu sanāksmes informēt Klimata un enerģētikas ministriju par progresu.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Atbildīgajām institūcijām plāna ieviešanu 2024. gadā nodrošināt no piešķirtajiem valsts budžeta līdzekļiem. Jautājumu par nepieciešamo papildu finansējumu plāna pasākumu īstenošanai 2025. gadā un turpmākajos gados skatīt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plāna pasākumu īstenošanai netiek piešķirts vai tiek piešķirts daļēji, atbildīgajām institūcijām nodrošināt, ka tiek īstenoti tie plāna pasākumi, kurus var nodrošināt par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noteiktajām atbildīgajām ministrijām līdz 2027. gada 1. februārim izvērtēt un, ja nepieciešams, aktualizēt plānā paredzētās politikas un pasākumus. Klimata un enerģētikas ministram līdz 2027. gada 15. decembrim iesniegt Valsts kancelejā aktualizēto plāna projektu.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Atbalstīt plāna konsolidēto redakciju.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Atzīt par spēku zaudējušu Ministru kabineta 2020. gada 2. februāra rīkojumu Nr. 46 "Par Latvijas Nacionālo enerģētikas un klimata plānu 2021.–2030. gadam" (Latvijas Vēstnesis, 2020, 29.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25-TA-1661</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25-TA-1661</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rīkojuma_konsolidētā_versija_25-TA-1661.docx</dc:title>
</cp:coreProperties>
</file>

<file path=docProps/custom.xml><?xml version="1.0" encoding="utf-8"?>
<Properties xmlns="http://schemas.openxmlformats.org/officeDocument/2006/custom-properties" xmlns:vt="http://schemas.openxmlformats.org/officeDocument/2006/docPropsVTypes"/>
</file>