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 februārī (prot. Nr. 5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 decembra noteikumos Nr. 685 "Prasības uztura bagātinātājiem"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br/>
      </w:r>
      <w:r w:rsidR="00000000" w:rsidRPr="00000000" w:rsidDel="00000000">
        <w:rPr>
          <w:rStyle w:val="paragraph"/>
          <w:i w:val="1"/>
          <w:rtl w:val="0"/>
        </w:rPr>
        <w:t xml:space="preserve">4. panta otro daļu un 10.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daļas 2. punktu,</w:t>
      </w:r>
      <w:r>
        <w:br/>
      </w:r>
      <w:r w:rsidR="00000000" w:rsidRPr="00000000" w:rsidDel="00000000">
        <w:rPr>
          <w:rStyle w:val="paragraph"/>
          <w:i w:val="1"/>
          <w:rtl w:val="0"/>
        </w:rPr>
        <w:t xml:space="preserve">13. panta trešās daļas 3. punktu</w:t>
      </w:r>
      <w:r>
        <w:br/>
      </w:r>
      <w:r w:rsidR="00000000" w:rsidRPr="00000000" w:rsidDel="00000000">
        <w:rPr>
          <w:rStyle w:val="paragraph"/>
          <w:i w:val="1"/>
          <w:rtl w:val="0"/>
        </w:rPr>
        <w:t xml:space="preserve">un </w:t>
      </w:r>
      <w:r w:rsidR="00000000" w:rsidRPr="00000000" w:rsidDel="00000000">
        <w:rPr>
          <w:rStyle w:val="paragraph"/>
          <w:i w:val="1"/>
          <w:rtl w:val="0"/>
        </w:rPr>
        <w:t xml:space="preserve">Reklāmas likuma</w:t>
      </w:r>
      <w:r w:rsidR="00000000" w:rsidRPr="00000000" w:rsidDel="00000000">
        <w:rPr>
          <w:rStyle w:val="paragraph"/>
          <w:i w:val="1"/>
          <w:rtl w:val="0"/>
        </w:rPr>
        <w:t xml:space="preserve"> 7.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 decembra noteikumos Nr. 685 "Prasības uztura bagātinātājiem" (Latvijas Vēstnesis, 2015, 242. nr.; 2020, 229. nr.; 2021, 165.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Ar šajos noteikumos lietoto terminu "uzņēmums" saprot pārtikas apritē iesaistītu uzņēmēju, kas ir atbildīgs par uztura bagātinātāja informāciju, atbilstoši Eiropas Parlamenta un Padomes 2011. gada 25. oktobra Regulas (ES)  Nr. 1169/2011 par pārtikas produktu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 (turpmāk – regula Nr. 1169/2011) 8. panta 1. punktā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Uztura bagātinātāju ražošanā atļauts izmantot tikai tos vitamīnus un minerālvielas un tādos veidos, kā noteikts Eiropas Savienības tieši piemērojamos normatīvajos aktos par uztura bagātinātājiem."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9.1.2.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"9.1.2.</w:t>
      </w:r>
      <w:r w:rsidR="00000000" w:rsidRPr="00000000" w:rsidDel="00000000">
        <w:rPr>
          <w:vertAlign w:val="superscript"/>
          <w:rtl w:val="0"/>
        </w:rPr>
        <w:t xml:space="preserve">1</w:t>
      </w:r>
      <w:r w:rsidR="00000000" w:rsidRPr="00000000" w:rsidDel="00000000">
        <w:rPr>
          <w:rtl w:val="0"/>
        </w:rPr>
        <w:t xml:space="preserve"> valsti, kurā ražots uztura bagātinātājs, ja šī valsts atšķiras no šo noteikumu 9.1.2. apakšpunktā minētās ražotāja 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par paziņojuma iesniedzēju, ja paziņojumu iesniedz uzņēmuma pilnvarotā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9.3.1. uzņēmuma nosaukumu, fiziskai personai – arī vārdu un uzvārdu;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9.3.2. juridiskai personai – reģistrācijas numuru komercreģistrā un juridisko adresi, fiziskai personai – personas kodu un deklarētās dzīvesvietas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9.3.3. faktisko adresi, ja tā nesakrīt ar juridisko adresi vai deklarētās dzīvesvietas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9.3.4. kontaktpersonas vārdu, uzvārdu, tālruņa numuru, elektroniskā pasta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9.4.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w:t>
      </w:r>
      <w:r w:rsidR="00000000" w:rsidRPr="00000000" w:rsidDel="00000000">
        <w:rPr>
          <w:rtl w:val="0"/>
        </w:rPr>
        <w:t xml:space="preserve"> uztura bagātinātāju reģistrā iekļaujamo informāciju par ražotāju – vai nu ražotāja nosaukumu un adresi, vai valsti, kurā ražots uztura bagātinātājs;".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"13.1.2. izdarītās izmaiņas uztura bagātinātāja nosaukumā, ražotāja nosaukumā, ražotāja adresē, uzņēmuma nosaukumā, uzņēmuma adresē, izmaiņas attiecībā uz valsti, kurā ražots uztura bagātinātājs, kā arī izmaiņas pagatavojuma veidā, fasējuma vienības lielumā, iepakojuma vienības lielumā, ieteicamajā dienas (diennakts) devā, sastāvdaļās, sastāvdaļu daudzumā, sastāvdaļu mērvienībā vai marķējumā;".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par personu, kas iesniedz paziņojumu par izmaiņām, ja paziņojumu iesniedz pilnvarotā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13.2.1. uzņēmuma nosaukumu, fiziskai personai – arī vārdu un uzvārdu;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13.2.2. juridiskai personai – reģistrācijas numuru komercreģistrā un juridisko adresi, fiziskai personai – personas kodu un deklarētās dzīvesvietas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13.2.3. faktisko adresi, ja tā nesakrīt ar juridisko adresi vai deklarētās dzīvesvietas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13.2.4. kontaktpersonas vārdu, uzvārdu, tālruņa numuru, elektroniskā pasta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13.5.</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uztura bagātinātāju reģistrā iekļaujamo informāciju par ražotāju – vai nu ražotāja nosaukumu un adresi, vai valsti, kurā ražots uztura bagātinātājs;".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Dienests mēneša laikā pēc šo noteikumu 9.  un  13. punktā minētā paziņojuma saņemšanas dienas pieņem attiecīgi lēmumu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uztura bagātinātāja reģistrāciju dienesta uztura bagātinātāju reģistrā vai par reģistrācijas atteikumu, ja produkts neatbilst pārtikas aprites jomu reglamentējošo normatīvo aktu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izmaiņu izdarīšanu uztura bagātinātāju reģistrā vai par atteikumu izdarīt izmaiņas, ja produkts neatbilst pārtikas aprites jomu reglamentējošo normatīvo aktu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iesniegts paziņojums par tādu uztura bagātinātāju, kuram ar reģistrētu uztura bagātinātāju ir vienāds nosaukums, ražotājs, sastāvs, ieteicamā dienas (diennakts) deva, pagatavojuma veids un fasējuma vienības lielums (turpmāk – identisks produkts), dienests 10 darbdienu laikā no šo noteikumu 9. punktā minētā paziņojuma saņemšanas dienas pieņem lēmumu par uztura bagātinātāja reģistrāciju dienesta uztura bagātinātāju reģistrā, izņemot šo noteikumu 15.</w:t>
      </w:r>
      <w:r w:rsidR="00000000" w:rsidRPr="00000000" w:rsidDel="00000000">
        <w:rPr>
          <w:vertAlign w:val="superscript"/>
          <w:rtl w:val="0"/>
        </w:rPr>
        <w:t xml:space="preserve">2</w:t>
      </w:r>
      <w:r w:rsidR="00000000" w:rsidRPr="00000000" w:rsidDel="00000000">
        <w:rPr>
          <w:rtl w:val="0"/>
        </w:rPr>
        <w:t xml:space="preserve"> 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Dienests šo noteikumu 15.</w:t>
      </w:r>
      <w:r w:rsidR="00000000" w:rsidRPr="00000000" w:rsidDel="00000000">
        <w:rPr>
          <w:vertAlign w:val="superscript"/>
          <w:rtl w:val="0"/>
        </w:rPr>
        <w:t xml:space="preserve">1</w:t>
      </w:r>
      <w:r w:rsidR="00000000" w:rsidRPr="00000000" w:rsidDel="00000000">
        <w:rPr>
          <w:rtl w:val="0"/>
        </w:rPr>
        <w:t xml:space="preserve"> punktā minētajā gadījumā piemēro vispārējo reģistrācijas kārtību, ja pastāv kāds no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1. produkts nav identisks ar uztura bagātinātāju reģistrā jau iekļautu uztura bagātinātāju;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2. iesniegtie dokumenti neatbilst šo noteikumu 9. un 9.</w:t>
      </w:r>
      <w:r w:rsidR="00000000" w:rsidRPr="00000000" w:rsidDel="00000000">
        <w:rPr>
          <w:vertAlign w:val="superscript"/>
          <w:rtl w:val="0"/>
        </w:rPr>
        <w:t xml:space="preserve">1</w:t>
      </w:r>
      <w:r w:rsidR="00000000" w:rsidRPr="00000000" w:rsidDel="00000000">
        <w:rPr>
          <w:rtl w:val="0"/>
        </w:rPr>
        <w:t xml:space="preserve"> punktā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 dienests ir ierosinājis administratīvo lietu par tā reģistrā jau iekļauta identiska produkta reģistrācijas anulēšanu, pamatojoties uz grozījumiem normatīvajos aktos pārtikas aprites jomā vai jaunāko zinātnisko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ražotāja nosaukumu un adresi vai valsti, kurā ražots uztura bagātinātājs (atbilstoši šo noteikumu 9.4.</w:t>
      </w:r>
      <w:r w:rsidR="00000000" w:rsidRPr="00000000" w:rsidDel="00000000">
        <w:rPr>
          <w:vertAlign w:val="superscript"/>
          <w:rtl w:val="0"/>
        </w:rPr>
        <w:t xml:space="preserve">1</w:t>
      </w:r>
      <w:r w:rsidR="00000000" w:rsidRPr="00000000" w:rsidDel="00000000">
        <w:rPr>
          <w:rtl w:val="0"/>
        </w:rPr>
        <w:t xml:space="preserve"> un 13.5.</w:t>
      </w:r>
      <w:r w:rsidR="00000000" w:rsidRPr="00000000" w:rsidDel="00000000">
        <w:rPr>
          <w:vertAlign w:val="superscript"/>
          <w:rtl w:val="0"/>
        </w:rPr>
        <w:t xml:space="preserve">1</w:t>
      </w:r>
      <w:r w:rsidR="00000000" w:rsidRPr="00000000" w:rsidDel="00000000">
        <w:rPr>
          <w:rtl w:val="0"/>
        </w:rPr>
        <w:t xml:space="preserve"> apakšpunktā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uzņēmuma nosaukumu un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Ja uztura bagātinātāju reģistrā iekļautais uztura bagātinātājs vairs netiek laists tirgū, uzņēmums par to informē dienestu rakstveida iesniegumā un dienests anulē uztura bagātinātāja reģistrāciju, kā arī svītro to no uztura bagātinātāju reģistra."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Dienests apstrādā paziņojuma iesniedzēja fiziskās personas un uzņēmuma pilnvarotās personas datus – vārdu, uzvārdu, personas kodu, deklarētās dzīvesvietas adresi, faktisko adresi, tālruņa numuru, elektroniskā pasta adresi, lai identificētu uzņēmumu, reģistrētu uztura bagātinātāju, izdarītu izmaiņas reģistrā un sazinātos ar uzņēmumu vai uzņēmuma pilnvaroto personu. Ja uztura bagātinātāja reģistrācija ir atteikta, fiziskās personas un uzņēmuma pilnvarotās personas datus pēc šo noteikumu 9. punktā minētā paziņojuma saņemšanas uzglabā trīs gadus. Ja uztura bagātinātājs ir reģistrēts, fiziskās personas un uzņēmuma pilnvarotās personas datus uzglabā trīs gadus pēc uztura bagātinātāja svītrošanas no uztura bagātinātāja objektu reģistra."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Uztura bagātinātājus marķē kārtībā, kas noteikta normatīvajā aktā par prasībām fasētas pārtikas marķējumam un regulā Nr. 1169/2011. Marķējumā ietver šādu papildu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tirdzniecības nosaukumu "uztura bagātinātājs";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to uzturvielu kategoriju vai vielu nosaukumus, kuras raksturo uztura bagātinātāju, vai norādi par šo uzturvielu vai vielu īpašībām;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uztura bagātinātāja ieteicamo dienas (diennakts) devu;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brīdinājumu nepārsniegt ieteicamo dienas (diennakts) devu;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 ieteikumu neizmantot uztura bagātinātāju pilnvērtīga un sabalansēta uztura aizvietošanai;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 brīdinājumu, ka uztura bagātinātājs jāglabā bērniem (maziem bērniem) nepieejamā 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 ar cipariem – daudzumu uzturvielām vai vielām ar uzturvērtību vai fizioloģisku ietekmi masas vai tilpuma vienībās dienas (diennakts) devā. Vitamīnus un minerālvielas norāda Eiropas Savienības tieši piemērojamos normatīvajos aktos par uztura bagātinātājiem noteiktajās mērvienībās;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 vitamīnu un minerālvielu daudzumu procentos no uzturvielu atsauces vērtības, kas norādīta regulas Nr. 1169/2011 XIII pielikuma A daļā. Vitamīnu un minerālvielu daudzumu procentos var norādīt arī grafiski."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23-TA-3244</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23-TA-3244</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noteikumu_(grozījumu)_projekts_23-TA-3244.docx</dc:title>
</cp:coreProperties>
</file>

<file path=docProps/custom.xml><?xml version="1.0" encoding="utf-8"?>
<Properties xmlns="http://schemas.openxmlformats.org/officeDocument/2006/custom-properties" xmlns:vt="http://schemas.openxmlformats.org/officeDocument/2006/docPropsVTypes"/>
</file>