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pasākumu "Pakalpojumu kvalitātes un pieejamības uzlabošana, tuvinot valsts sociālās aprūpes centru filiāles kopienā sniegtajiem (ģimeniskai videi pietuvinātiem) pakalpojumiem"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pakalpojumu kvalitāti un uzlabot pakalpojumu pieejamību valsts sociālās aprūpes centros, izveidojot ģimeniskai videi pietuvināta pakalpojuma infrastruktūru, tādējādi sekmējot bērnu un jauniešu ar smagiem un ļoti smagiem funkcionāliem traucējumiem neatkarīgas dzīves iespējas un dzīves kvalitātes saglabāšanu vai uzlabošanu.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sociālās aprūpes centros esošie: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bāreņi un bez vecāku gādības palikušie bērni ar smagiem un ļoti smagiem funkcionāliem traucējumiem, kuriem funkcionālo traucējumu smaguma pakāpes dēļ nav iespējams nodrošināt aprūpi ģimenē, pie aizbildņa, audžuģimenē vai specializētajā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 18 gadiem līdz 25 gadiem (ieskaitot) ar smagiem un ļoti smagiem garīga rakstura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rādītājs – izvēlētas un saskaņotas vietas jaunu vai modernizētu sociālās aprūpes iestāžu izveidei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izvēlētas un saskaņotas vietas jaunu vai modernizētu sociālās aprūpes iestāžu izveidei – 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vai modernizētu sociālās aprūpes iestāžu (izņemot sociālo mājokļu) kapacitāte – 120;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personu skaits gadā, kuras izmanto jaunu vai modernizētu sociālās aprūpes iestāžu pakalpojumus, – 120.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26 100 000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22 185 000 </w:t>
      </w:r>
      <w:r w:rsidR="00000000" w:rsidRPr="00000000" w:rsidDel="00000000">
        <w:rPr>
          <w:i w:val="1"/>
          <w:rtl w:val="0"/>
        </w:rPr>
        <w:t xml:space="preserve">euro </w:t>
      </w:r>
      <w:r w:rsidR="00000000" w:rsidRPr="00000000" w:rsidDel="00000000">
        <w:rPr>
          <w:rtl w:val="0"/>
        </w:rPr>
        <w:t xml:space="preserve">un valsts budžeta līdzfinansējums – 3 915 000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2021. gada 1. decembra.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sabiedrība ar ierobežotu atbildību "Šampētera nams", kas saskaņā ar Sociālo pakalpojumu un sociālās palīdzības likumu pārvalda Labklājības ministrijas valdījumā esošos valsts nekustamos īpašumus, kuri nepieciešami valsts sociālās aprūpes centru pakalpojumu nodrošināšanai. Projekta iesniedzējs pēc projekta iesnieguma apstiprināšanas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ir valsts sociālās aprūpes centri (turpmāk –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ar sadarbības partneriem slēdz sadarbības līgumu. Sadarbības līgumā papildus normatīvajos aktos, kas nosaka kārtību, kādā Eiropas Savienības fondu vadībā iesaistītās institūcijas nodrošina šo fondu ieviešanu 2021.–2027. gada plānošanas periodā, noteiktajām prasībām iekļauj vismaz šādu informāciju par sadarbības partneru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informatīvo un konsultatīvo atbalstu, kas nepieciešams kvalitatīvai projekta mērķa sasniegšanai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projekta īstenošanā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 informatīvā un konsultatīvā atbalsta sniegšanā piedalās to valsts sociālās aprūpes centru filiāļu speciālisti, kuri ikdienā nodrošina ilgstošas sociālās aprūpes un sociālās rehabilitācijas pakalpojumu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izņemot projekta iesniegumu, izstrāde, tai skaitā arī metu konkursa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 pārbūve vai atjaunošana, teritorijas labiekārtošana, būvekspertīze, būvuzraudzība, autoruzraudzība, energosertifikācija un energoaudits;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atsavināšana, tai skaitā nekustamā īpašuma iegāde, atsavināšana sabiedrības vajadzībām un nekustamā īpašuma tirgus cenas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 šo noteikumu </w:t>
      </w:r>
      <w:r w:rsidR="00000000" w:rsidRPr="00000000" w:rsidDel="00000000">
        <w:rPr>
          <w:rtl w:val="0"/>
        </w:rPr>
        <w:t xml:space="preserve">14.1.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14.2.</w:t>
      </w:r>
      <w:r w:rsidR="00000000" w:rsidRPr="00000000" w:rsidDel="00000000">
        <w:rPr>
          <w:shd w:fill="#ffffff" w:val="clea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attiecināmās personāla izmaksas –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izmaksas nosakāmas atbilstoši nepilnā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ņemot vērā, ka iepirkumu līgumu izmaksas šo noteikumu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minētās atbalstāmās darbības īstenošanai piemēro, ja komunikācijas un vizuālās identitātes prasību nodrošināšanai piesaista pakalpojuma sniedzēju, un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nodrošināšanai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nekustamā īpašuma iegādei un nekustamā īpašuma tirgus cenas novērtēšanai, kā arī izmaksas, kas saistītas ar nekustamā īpašuma iegādi un atsavināšanu;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ja projekta vadības un īstenošanas personāls piesaistīts uz darba tiesisko attiecību pamata. Iekšzemes komandējumu un darba (dienesta) braucienu izmaksām piemēro vadošās iestādes metodikas par vienas vienības izmaksu standarta likmes aprēķinu un piemērošanu viena km izmaksām un iekšzemes komandējuma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 projekta vadības personāla izmaksas nepārsniedz 84 787 </w:t>
      </w:r>
      <w:r w:rsidR="00000000" w:rsidRPr="00000000" w:rsidDel="00000000">
        <w:rPr>
          <w:i w:val="1"/>
          <w:rtl w:val="0"/>
        </w:rPr>
        <w:t xml:space="preserve">euro </w:t>
      </w:r>
      <w:r w:rsidR="00000000" w:rsidRPr="00000000" w:rsidDel="00000000">
        <w:rPr>
          <w:rtl w:val="0"/>
        </w:rPr>
        <w:t xml:space="preserve">kalendāra gadā, un tās reizina ar projekta īstenošanas gadu skaitu. Ja projekta īstenošanas gads neietver 12 kalendāra mēnešus,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žūrijas komisijas darbības un atlīdzības un godalgu izmaksas var paredzēt, ja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projekta īstenošanu pamatojošās dokumentācijas izstrādei organizē metu konkursu;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un citiem teritorijas un būves lietotājiem;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16.2.3. </w:t>
      </w:r>
      <w:r w:rsidR="00000000" w:rsidRPr="00000000" w:rsidDel="00000000">
        <w:rPr>
          <w:rtl w:val="0"/>
        </w:rPr>
        <w:t xml:space="preserve">apakšpunktā</w:t>
      </w:r>
      <w:r w:rsidR="00000000" w:rsidRPr="00000000" w:rsidDel="00000000">
        <w:rPr>
          <w:rtl w:val="0"/>
        </w:rPr>
        <w:t xml:space="preserve"> minētās izmaksas nepārsniedz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īstenošanas un vadības personālam jaunu darba vietu radīšanai vai gadījumā, ja esošas darba vietas aprīkojums ir nolietojies un tiek norakstīts,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iegādes vai nomas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īstenošanai var paredzēt transporta pakalpojumu izmaksas (transportlīdzekļa noma, transporta pakalpojumu pirkšana, maksa par degvielu).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minētās neparedzētās izmaksas finansējuma saņēmējs var plānot kā vienu izmaksu pozīciju, kas nepārsniedz piecus procentus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kopējām projekta tiešajām attiecināmajām izmaksām, un tās var izmantot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tas nav atgūstams saskaņā ar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30 procentiem no projekta apstiprinātā kopējā attiecināmā finansējuma, ievērojot, ka avansu var izmaksāt vairākos maksājumos.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īstenošanu pārvalda un ģimeniskai videi pietuvināta pakalpojuma infrastruktūras izveidei izvēlētās vietas saskaņo Labklājības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atbalstāmās darbības ietvaros finansējuma saņēmējs, tai skaitā īstenojot iepirkumu līgumus,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izveidi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personām atbilstoši būvniecības jomā noteiktajiem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būvniecības jomas normatīvajos aktos noteiktajām prasībām – vides pieejamības ekspertu konsultācijas un specifiskas darbības vides un informācijas pieejamības nodrošināšanai personām 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minētā nekustamā īpašuma atsavināšanu,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balstās uz saimnieciskuma principu, kā arī pamato nekustamā īpašuma iegādes nepieciešamību un saikni ar projekta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izdevumus tāda nekustamā īpašuma iegādei, kas nav citam atsavināts, ieķīlāts, iznomāts vai nodots lietojumā, kas netiek izmantots kā komersanta juridiskā adrese un tajā nav deklarēta fiziskas vai juridiskas personas adrese, tas nav apgrūtināts ar parādiem vai saistībām un tam nav uzlikts aizliegums vai arests, kā arī par nekustamo īpašumu ir samaksāti visi tam piemērojamie nodokļi, kas bija jāsamaksā līdz darījuma noslēgšanai;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attiecīgi Publiskas personas mantas atsavināšanas likumā vai Sabiedrības vajadzībām nepieciešamā nekustamā īpašuma atsavināšanas likumā noteikto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 </w:t>
      </w:r>
      <w:r w:rsidR="00000000" w:rsidRPr="00000000" w:rsidDel="00000000">
        <w:rPr>
          <w:rtl w:val="0"/>
        </w:rPr>
        <w:t xml:space="preserve">apakšpunktā</w:t>
      </w:r>
      <w:r w:rsidR="00000000" w:rsidRPr="00000000" w:rsidDel="00000000">
        <w:rPr>
          <w:rtl w:val="0"/>
        </w:rPr>
        <w:t xml:space="preserve"> minētās atbalstāmās darbības ietvaros finansējuma saņēmējs, tai skaitā īstenojot iepirkumu līgumus, nodrošina telpu aprīkošanai un ģimeniskai videi pietuvināta pakalpojuma sniegšanai nepieciešamā materiāltehniskā aprīkojuma iegādi, kā arī datoru, datorprogrammatūras, tehnisko palīglīdzekļu un citu nepieciešamo ierīču un materiālu iegādi.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atbalstāmās darbības ietvaros finansējuma saņēmējs, tai skaitā īstenojot iepirkumu līgumus, nodrošina konsultāciju sniegšanu atbilstoši būvju vispārīgo prasību būvnormatīvā LBN 200-21 noteiktajām minimālajām vides pieejamības prasībām un Labklājības ministrijas izstrādātajiem labās prakses ieteikumiem vides piekļūstamības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 projekta darbības specifikai, īstenojot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avansa maksājumu paredz ne vairāk kā 50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nepieciešamo personālu, slēdz sadarbības līgumus ar sadarbības partneriem vai īsteno publiskos iepirkumus, nodrošinot, ka projekta īstenošanas laikā tiek ievēroti interešu konflikta, korupcijas un krāpšanas novēršanas nosacījumi, vismaz paredzot, ka projekta vadībā un īstenošanā iesaistītais personāls, sadarbības partnera personāls, kas iesaistīts projekta īstenošanā,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16.2.2.</w:t>
      </w:r>
      <w:r w:rsidR="00000000" w:rsidRPr="00000000" w:rsidDel="00000000">
        <w:rPr>
          <w:rtl w:val="0"/>
        </w:rPr>
        <w:t xml:space="preserve"> un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žūrijas komisijas dalībnieki pirms metu konkursa pieteikuma izvērtēšanas paraksta apliecinājumu, ka nav saistīti ar labuma guvēju likuma "Par interešu konflikta novēršanu valsts amatpersonu darbībā" izpratnē un regulas 2018/1046 61. panta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novērš dubultfinansēšanas riskus un nodrošina, ka projekta ietvaros atbalstāmās darbības un to izmaksas nav finansētas, netiek finansētas vai līdzfinansētas, kā arī tās nav plānots finansēt vai līdzfinansēt no citiem valsts, pašvaldības vai ārvalstu finanšu palīdzības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informācijas un vides piekļūstamību, atšķirīgas attieksmes aizlieguma ievērošanu personas vecuma, dzimuma, reliģiskās, politiskās vai citas pārliecības, seksuālās orientācijas, invaliditātes, rases vai etniskās piederības dēļ un vienlīdzīgu iespēju principu ievērošanu, kā arī nodrošina, ka tiks virzīti pasākumi, kas sekmē darba un ģimenes dzīves saskaņošanu, paredzot attālināta darba laika iespēju un nepilna laika darba iespēju radīšanu vecākiem ar bērniem, kā arī sievietēm un vīriešiem nodrošina vienādu samaksu par vienādas vērtības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ieguldījumu infrastruktūrā atbilstību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nekustamais īpašums, kurā par projekta īstenošanai piešķirtajiem līdzekļiem plānots veikt ieguldījumus, ir Labklājības ministrijas valdījumā vai līdz projekta īstenošanas beigām tiks nostiprināts zemesgrāmatā uz valsts vārda Labklājības ministrijas personā;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neplāno fosilo energoresursu tehnoloģiju uzstādīšanu un, ciktāl tas ir attiecināms,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horizontālajiem rādītājiem: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un vispārpieņemtiem grāmatvedības kārtošanas principiem, piemēram, izveidojot atbilstošu uzskaites kodu sistēmu par projekta īstenošanai veiktajiem darījumiem.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Labklājības ministrija nodrošina projekta rezultātu ilgtspēju vismaz piecus gadus pēc noslēguma maksājuma veikšanas finansējuma saņēmējam, izmantojot projekta ietvaros radīto infrastruktūru ģimeniskai videi pietuvināta pakalpojuma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pasākuma ietvaros izveidojamā ģimeniskai videi pietuvinātā pakalpojuma infrastruktūra projekta īstenošanas laikā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 periodā vai ieguldījumu amortizācijas periodā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 Ja paredzēts mainīt ģimeniskai videi pietuvinātā pakalpojuma infrastruktūras izmantošanas nosacījumus ieguldījumu amortizācijas periodā un tā rezultātā projekta darbības būs saistītas ar saimniecisko darbību, kurai sniegtais atbalsts būtu kvalificējams kā komercdarbības atbalsts, Labklājības ministrija iesniedz sadarbības iestādē informāciju par plānotajām izmaiņām.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22-TA-3727</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22-TA-3727</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noteikumu_projekts_22-TA-3727.docx</dc:title>
</cp:coreProperties>
</file>

<file path=docProps/custom.xml><?xml version="1.0" encoding="utf-8"?>
<Properties xmlns="http://schemas.openxmlformats.org/officeDocument/2006/custom-properties" xmlns:vt="http://schemas.openxmlformats.org/officeDocument/2006/docPropsVTypes"/>
</file>