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Tiesību akta projekta sākotnējās ietekmes izvērtēšanas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plānošanas sistēmas likuma</w:t>
      </w:r>
      <w:r>
        <w:br/>
      </w:r>
      <w:r w:rsidR="00000000" w:rsidRPr="00000000" w:rsidDel="00000000">
        <w:rPr>
          <w:rStyle w:val="paragraph"/>
          <w:i w:val="1"/>
          <w:rtl w:val="0"/>
        </w:rPr>
        <w:t xml:space="preserve">11. panta sesto daļu</w:t>
      </w:r>
      <w:r>
        <w:br/>
      </w:r>
      <w:r w:rsidR="00000000" w:rsidRPr="00000000" w:rsidDel="00000000">
        <w:rPr>
          <w:rStyle w:val="paragraph"/>
          <w:i w:val="1"/>
          <w:rtl w:val="0"/>
        </w:rPr>
        <w:t xml:space="preserve">un </w:t>
      </w:r>
      <w:r w:rsidR="00000000" w:rsidRPr="00000000" w:rsidDel="00000000">
        <w:rPr>
          <w:rStyle w:val="paragraph"/>
          <w:i w:val="1"/>
          <w:rtl w:val="0"/>
        </w:rPr>
        <w:t xml:space="preserve">Ministru kabineta iekārtas likuma</w:t>
      </w:r>
      <w:r>
        <w:br/>
      </w:r>
      <w:r w:rsidR="00000000" w:rsidRPr="00000000" w:rsidDel="00000000">
        <w:rPr>
          <w:rStyle w:val="paragraph"/>
          <w:i w:val="1"/>
          <w:rtl w:val="0"/>
        </w:rPr>
        <w:t xml:space="preserve">31.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veic tiesību akta projekta (turpmāk – projekts) sākotnējās ietekmes izvērtēšanu (</w:t>
      </w:r>
      <w:r w:rsidR="00000000" w:rsidRPr="00000000" w:rsidDel="00000000">
        <w:rPr>
          <w:i w:val="1"/>
          <w:rtl w:val="0"/>
        </w:rPr>
        <w:t xml:space="preserve">ex-ante</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sagatavo sākotnējās ietekmes novērtējuma ziņojumu (turpmāk – anotācija);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ietekmes izvērtējuma objektus (anotācijas sadaļas).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Sākotnējās ietekmes izvērtēšanas mērķis ir apzināt ietekmi un sekas, ko var radīt projekts, un, pamatojoties uz iegūtajiem secinājumiem, izvēlēties piemērotāko regulējuma apjomu, saturu un formu. Sākotnējās ietekmes izvērtēšanas rezultātus atspoguļo anotācijā.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Anotācijas uzdevums ir informēt lēmuma pieņēmējus un ieinteresētās puses par projekta ietekmi un sekām, ko projekts var radīt uz dažādām darbības jomām.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Izvērtējot sākotnējo ietekmi, ievēro šādus principus – savlaicīgums, sistēmiskums, vispusīgums, samērīgums, objektivitāte, uz pierādījumiem balstītu lēmumu pieņemšana, izmaksu un ieguvumu samērojamība, kā arī citus valsts pārvaldes un attīstības plānošanas principus.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Sākotnējās ietekmes izvērtēšanā pēc iespējas izmanto tādus informācijas avotus un analīzes metodes, kas nodrošina ar pierādījumiem pamatotu ietekmes izvērtējumu.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Sākotnējās ietekmes izvērtēšana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Sākotnējās ietekmes izvērtēšanu uzsāk pirms projekta izstrādes un turpina līdz tā pieņemšanai.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Sākotnējās ietekmes izvērtēšanas procesā ievēro normatīvos aktus par sabiedrības līdzdalību attīstības plānošanas procesā, nodrošinot mērķtiecīgu sabiedrības līdzdalību un, ja iespējams, izvērtēšanā iesaistot to sabiedrības grupu pārstāvjus, kuras ietekmēs projekts, vai šo sabiedrības grupu intereses pārstāvošās biedrības un nodibinājumus.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sākotnējās ietekmes izvērtēšanai pasūta pētījumus, ievērojot normatīvos aktus par publiskas personas pasūtītajiem pētījumiem.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Izvērtējot sākotnējo ietekmi, vērtē projekta: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izstrādes mērķi un nepieciešamību, tai skaitā vērtējot iespējamās alternatīvas, kas paredz zemāka līmeņa vai cita veida tiesiskā regulējuma izstrādi vai neparedz tiesiskā regulējuma izstrādi, kā arī vērtējot tiesiskā regulējuma vienkāršošanas iespējas;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efektivitāti mērķa sasniegšanā, tai skaitā vispusīgi vērtējot alternatīvo risinājumu ieviešanas trūkumus un priekšrocības;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un izmaksu samērīgumu pret ieguvumiem, ko sniedz mērķa sasniegšana;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izpildes nodrošināšanai nepieciešamo resursu pamatotību;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ietekmi uz tautsaimniecību, tai skaitā uz makroekonomisko vidi, nozaru konkurētspēju, uzņēmējdarbības vidi, mazajiem un vidējiem uzņēmējiem, konkurenci un nodarbinātību;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ietekmi uz administratīvajām procedūrām un to izmaksām fiziskajām un juridiskajām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ietekmi uz atbilstības prasībām un ar tām saistītajām izmaksām fiziskajām un juridiskajām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sociālo ietekmi, tai skaitā ietekmi uz sociālās atstumtības riskam pakļautajām sabiedrības grupām;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ietekmi uz dzimumu līdztiesību;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ietekmi uz veselību, tai skaitā uz cilvēku vienlīdzīgām tiesībām un iespējām un uz jaunām tiesībām un pienākumiem veselības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ietekmi uz vidi, tai skaitā uz klimatneitralitāti;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ietekmi uz diasporu;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ietekmi uz profesiju reglamentāciju, vērtējot samērīgumu saskaņā ar šo noteikumu 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ietekmi uz informācijas sabiedrības politikas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ietekmi uz valsts un pašvaldību informācijas un komunikācijas tehnoloģiju attīstību, tai skaitā uz resursiem;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ietekmi uz teritoriju attīstību;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ietekmi uz publisko pakalpojumu attīstību, tai skaitā vērtējot digitalizācijas iespējas;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ietekmi uz valsts budžetu un pašvaldību budžetiem;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ietekmi uz tiesību normu sistēmu un Latvijas Republikas starptautiskajām saistībām;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ietekmi uz cilvēktiesībām, demokrātiskajām vērtībām un pilsoniskās sabiedrības attīstību;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ietekmi uz personu ar invaliditāti vienlīdzīgām iespējām un tiesībām;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ietekmi uz institūcijām, to funkcijām un cilvēkresursiem;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ietekmi uz Nacionālā attīstības plāna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ietekmi uz datu aizsardzību;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atbilstību bērna vislabākajām interesēm.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Anotācijas sagatavošana un tās sadaļas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Anotāciju aizpilda Vienotajā tiesību aktu projektu izstrādes un saskaņošanas portālā (turpmāk – TAP portāls).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Projektiem, kas satur valsts noslēpuma objektu vai kuriem ir noteikts lietojuma ierobežojums "informācija dienesta vajadzībām", anotāciju aizpilda ārpus TAP portāla saskaņā ar veidlapu, kas pieejama vadlīnijās sākotnējās ietekmes izvērtēšanai un anotācijas sagatavošanai TAP portālā.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Anotāciju aizpilda šādiem projektiem: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starptautisks līgums vai tā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Saeimas lēmumprojekts;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noteikumu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Ministru kabineta instrukcijas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Ministru kabineta ieteikumu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Ministru kabineta rīkojuma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Ministru kabineta sēdes protokollēmuma projekts.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 apakšpunktā minētajiem projektiem anotācija nav jāaizpilda, ja tos pievieno informatīvajam ziņojumam vai attīstības plānošanas dokumentam.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Anotācijai ir šādas sadaļas: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izstrādes nepieciešamība;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grupas, kuras ietekmēs projekts, projekta ietekme uz tām, ietekme uz tautsaimniecības attīstību un administratīvo slogu, tai skaitā administratīvo izmaksu monetārs novērtējums un atbilstības izmaksu monetārs novērtējums, kā arī administratīvā sloga novērtējums laika izteiksmē;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ietekme uz valsts budžetu un pašvaldību budžetiem;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ietekme uz spēkā esošo tiesību normu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atbilstība Latvijas Republikas starptautiskajām saistībām;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izstrādē iesaistītās institūcijas un sabiedrības līdzdalības process;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izpildes nodrošināšana un tās ietekme uz institūcijām;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horizontālo ietekmju saraksts.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Visiem projektiem aizpilda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14.6.</w:t>
      </w:r>
      <w:r w:rsidR="00000000" w:rsidRPr="00000000" w:rsidDel="00000000">
        <w:rPr>
          <w:rtl w:val="0"/>
        </w:rPr>
        <w:t xml:space="preserve"> un </w:t>
      </w:r>
      <w:r w:rsidR="00000000" w:rsidRPr="00000000" w:rsidDel="00000000">
        <w:rPr>
          <w:rtl w:val="0"/>
        </w:rPr>
        <w:t xml:space="preserve">14.7.</w:t>
      </w:r>
      <w:r w:rsidR="00000000" w:rsidRPr="00000000" w:rsidDel="00000000">
        <w:rPr>
          <w:rtl w:val="0"/>
        </w:rPr>
        <w:t xml:space="preserve"> apakšpunktā minēto anotācijas sadaļu.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un </w:t>
      </w:r>
      <w:r w:rsidR="00000000" w:rsidRPr="00000000" w:rsidDel="00000000">
        <w:rPr>
          <w:rtl w:val="0"/>
        </w:rPr>
        <w:t xml:space="preserve">14.8.</w:t>
      </w:r>
      <w:r w:rsidR="00000000" w:rsidRPr="00000000" w:rsidDel="00000000">
        <w:rPr>
          <w:rtl w:val="0"/>
        </w:rPr>
        <w:t xml:space="preserve"> apakšpunktā minēto sadaļu aizpilda, ja attiecināms.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14.2. apakšpunktā minētās administratīvās izmaksas ir izmaksas, ko rada informācijas sniegšanas pienākumi un to izpilde. Administratīvās izmaksas mērķa grupām, tai skaitā fiziskām un juridiskām personām, valsts un pašvaldību institūcijām, aprēķina, sākot no viena</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Administratīvās izmaksas juridiskajām personām aprēķina, izmantojot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C = (f </w:t>
      </w:r>
      <w:r w:rsidR="00000000" w:rsidRPr="00000000" w:rsidDel="00000000">
        <w:rPr>
          <w:rtl w:val="0"/>
        </w:rPr>
        <w:t xml:space="preserve">×</w:t>
      </w:r>
      <w:r w:rsidR="00000000" w:rsidRPr="00000000" w:rsidDel="00000000">
        <w:rPr>
          <w:rtl w:val="0"/>
        </w:rPr>
        <w:t xml:space="preserve"> l) </w:t>
      </w:r>
      <w:r w:rsidR="00000000" w:rsidRPr="00000000" w:rsidDel="00000000">
        <w:rPr>
          <w:rtl w:val="0"/>
        </w:rPr>
        <w:t xml:space="preserve">×</w:t>
      </w:r>
      <w:r w:rsidR="00000000" w:rsidRPr="00000000" w:rsidDel="00000000">
        <w:rPr>
          <w:rtl w:val="0"/>
        </w:rPr>
        <w:t xml:space="preserve"> (n </w:t>
      </w:r>
      <w:r w:rsidR="00000000" w:rsidRPr="00000000" w:rsidDel="00000000">
        <w:rPr>
          <w:rtl w:val="0"/>
        </w:rPr>
        <w:t xml:space="preserve">×</w:t>
      </w:r>
      <w:r w:rsidR="00000000" w:rsidRPr="00000000" w:rsidDel="00000000">
        <w:rPr>
          <w:rtl w:val="0"/>
        </w:rPr>
        <w:t xml:space="preserve"> b), kur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informācijas sniegšanas pienākuma radītās izmaksas jeb administratīvās izmaksas;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finanšu līdzekļu apmērs, kas nepieciešams, lai nodrošinātu projektā paredzētā informācijas sniegšanas pienākuma izpildi (stundas samaksas likme);</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laika patēriņš (stundās), kas nepieciešams, lai sagatavotu saskaņā ar projektu sniedzamo informāciju;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subjektu skaits, uz kuriem attiecas projektā paredzētās informācijas sniegšanas prasības;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reižu skaits gada laikā, kad paredzēta informācijas 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Administratīvo slogu fiziskajām personām vērtē naudas un laika izteiksmē, izmantojot šādas formulas: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patērētais laiks: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C1 = l × n × b, kur</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C1 – informācijas sniegšanas pienākuma radītais laika patēriņš;</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laika patēriņš (stundās), kas nepieciešams, lai sagatavotu saskaņā ar projektu sniedzamo informāciju;</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subjektu skaits, uz kuriem attiecas projektā paredzētās informācijas sniegšanas prasības;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reižu skaits gada laikā, kad paredzēta informācijas 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izlietotie naudas līdzekļi:</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C2 = f × n × b, kur</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C2 – informācijas sniegšanas pienākuma radītās izmaksas naudas izteiksmē;</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finanšu līdzekļu apmērs, kas nepieciešams, lai nodrošinātu projektā paredzētā informācijas sniegšanas pienākuma izpildi (stundas samaksas likme vai dokumentu sagatavošanas un iesniegšanas izdevumi);</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subjektu skaits, uz kuriem attiecas projektā paredzētās informācijas sniegšanas prasības;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reižu skaits gada laikā, kad paredzēta informācijas 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 minētās atbilstības izmaksas ir izmaksas, kas mērķa grupām – fiziskām un juridiskām personām, valsts vai pašvaldību institūcijām – rodas, lai nodrošinātu projektā ietverto atbilstības prasību izpildi. Atbilstības prasības ir prasības, kas ietvertas tiesiskajā regulējumā un kuru izpildes rezultātā mērķa grupām rodas izmaksas (atbilstības izmaksas neietver iemaksas valsts budžetā, nodokļus, nodevas vai maksas pakalpojumus). Atbilstības izmaksas aprēķina, reizinot to fizisko personu, juridisko personu, valsts vai pašvaldību institūciju skaitu (vai vienību skaitu, uz kurām attiecas izmaiņas), kurām šīs izmaksas rodas, ar izmaksām, kas rodas vienai personai vai institūcijai (vai vienai vienībai).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Administratīvās izmaksas un atbilstības izmaksas aprēķina katrai mērķgrupai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Administratīvo izmaksu un atbilstības izmaksu aprēķina rezultātu iekļauj anotācijā gan izmaksu pieauguma, gan samazinājuma gadījumā.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attiecināms, anotācijā norāda informāciju par pētījumiem, kuri pamato projekta izstrādes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projektam paredzēta tiesību akta pēcpārbaudes ietekmes (</w:t>
      </w:r>
      <w:r w:rsidR="00000000" w:rsidRPr="00000000" w:rsidDel="00000000">
        <w:rPr>
          <w:i w:val="1"/>
          <w:rtl w:val="0"/>
        </w:rPr>
        <w:t xml:space="preserve">ex-post</w:t>
      </w:r>
      <w:r w:rsidR="00000000" w:rsidRPr="00000000" w:rsidDel="00000000">
        <w:rPr>
          <w:rtl w:val="0"/>
        </w:rPr>
        <w:t xml:space="preserve">) izvērtēšana, šo informāciju iekļauj anotācijā, norādot pamatojumu, termiņu, kā arī projekta mērķa sasniegšanas rezultātus un to vērtēšanas rādītājus.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Sniedzot atzinumu par projektu, izvērtē arī projektam pievienotās anotācijas sadaļās ietverto informāciju. Par anotācijā norādītās informācijas izvērtēšanu ir atbildīga: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kanceleja – par visu anotāciju kopumā, īpaši par ietekmi uz valsts institūcijām, to funkcijām un cilvēkresursiem, par sabiedrības līdzdalības kārtības ievērošanu, par ietekmi uz administratīvajām procedūrām un to izmaksām, par ietekmi uz atbilstības prasībām un to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Ārlietu ministrija – par šo noteikumu </w:t>
      </w:r>
      <w:r w:rsidR="00000000" w:rsidRPr="00000000" w:rsidDel="00000000">
        <w:rPr>
          <w:rtl w:val="0"/>
        </w:rPr>
        <w:t xml:space="preserve">14.5.</w:t>
      </w:r>
      <w:r w:rsidR="00000000" w:rsidRPr="00000000" w:rsidDel="00000000">
        <w:rPr>
          <w:rtl w:val="0"/>
        </w:rPr>
        <w:t xml:space="preserve"> apakšpunktā minētajā sadaļā norādīto informāciju un par ietekmi uz diasporu;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Ekonomikas ministrija – par ietekmi uz tautsaimniecību;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ministrija – par šo noteikumu </w:t>
      </w:r>
      <w:r w:rsidR="00000000" w:rsidRPr="00000000" w:rsidDel="00000000">
        <w:rPr>
          <w:rtl w:val="0"/>
        </w:rPr>
        <w:t xml:space="preserve">14.3.</w:t>
      </w:r>
      <w:r w:rsidR="00000000" w:rsidRPr="00000000" w:rsidDel="00000000">
        <w:rPr>
          <w:rtl w:val="0"/>
        </w:rPr>
        <w:t xml:space="preserve"> apakšpunktā minētajā sadaļā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Tieslietu ministrija – par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un </w:t>
      </w:r>
      <w:r w:rsidR="00000000" w:rsidRPr="00000000" w:rsidDel="00000000">
        <w:rPr>
          <w:rtl w:val="0"/>
        </w:rPr>
        <w:t xml:space="preserve">14.7.</w:t>
      </w:r>
      <w:r w:rsidR="00000000" w:rsidRPr="00000000" w:rsidDel="00000000">
        <w:rPr>
          <w:rtl w:val="0"/>
        </w:rPr>
        <w:t xml:space="preserve"> apakšpunktā minētajā sadaļā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 ministrija vai Ministru prezidenta padotībā esoša valsts pārvaldes iestāde – atbilstoši kompetencei.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kanceleja tiesību aktu izstrādes ceļvedī publisko un aktualizē vadlīnijas sākotnējās ietekmes izvērtēšanai un anotācijas sagatavošanai TAP portālā.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projektam ir izvērtēts šo noteikumu </w:t>
      </w:r>
      <w:r w:rsidR="00000000" w:rsidRPr="00000000" w:rsidDel="00000000">
        <w:rPr>
          <w:rtl w:val="0"/>
        </w:rPr>
        <w:t xml:space="preserve">9.13.</w:t>
      </w:r>
      <w:r w:rsidR="00000000" w:rsidRPr="00000000" w:rsidDel="00000000">
        <w:rPr>
          <w:rtl w:val="0"/>
        </w:rPr>
        <w:t xml:space="preserve"> apakšpunktā minētais samērīgums attiecībā uz ietekmi uz profesiju reglamentāciju, Izglītības un zinātnes ministrija sadarbībā ar ministriju, kas izstrādājusi attiecīgo projektu, sešu mēnešu laikā pēc projekta spēkā stāšanās dienas publicē to Eiropas Komisijas izveidotajā un uzturētajā publiski pieejamā reglamentēto profesiju datubāzē.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zaudējušu Ministru kabineta 2009. gada 15. decembra instrukciju Nr. 19 "Tiesību akta projekta sākotnējās ietekmes izvērtēšanas kārtība" (Latvijas Vēstnesis, 2009, 205. nr.; 2010, 204. nr.; 2013, 91., 252. nr.; 2017, 124.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Šajos noteikumos minētās prasības attiecībā uz sākotnējās ietekmes izvērtēšanu un anotācijas aizpildīšanu neattiecas uz projektiem, kas pieteikti izsludināšanai Valsts sekretāru sanāksmē vai nosūtīti saskaņošanai bez izsludināšanas Valsts sekretāru sanāksmē līdz 2021. gada 9. septembrim un tiek iesniegti izskatīšanai Ministru kabinetā līdz 2022. gada 9. martam.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 minēto projektu sākotnējās ietekmes izvērtēšanai un anotācijas aizpildīšanai piemēro Ministru kabineta 2009. gada 15. decembra instrukcijā Nr. 19 "Tiesību akta projekta sākotnējās ietekmes izvērtēšanas kārtība" minētās attiecīgās normas.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Noteikumi stājas spēkā 2021. gada 9. septembrī.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2018. gada 28. jūnija Direktīvas (ES) </w:t>
      </w:r>
      <w:r w:rsidR="00000000" w:rsidRPr="00000000" w:rsidDel="00000000">
        <w:rPr>
          <w:rtl w:val="0"/>
        </w:rPr>
        <w:t xml:space="preserve">2018/958</w:t>
      </w:r>
      <w:r w:rsidR="00000000" w:rsidRPr="00000000" w:rsidDel="00000000">
        <w:rPr>
          <w:rtl w:val="0"/>
        </w:rPr>
        <w:t xml:space="preserve"> par samērīguma novērtēšanu pirms jaunas profesiju reglamentācijas pieņemšanas.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23-TA-3330</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23-TA-3330</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noteikumu_konsolidētā_versija_23-TA-3330.docx</dc:title>
</cp:coreProperties>
</file>

<file path=docProps/custom.xml><?xml version="1.0" encoding="utf-8"?>
<Properties xmlns="http://schemas.openxmlformats.org/officeDocument/2006/custom-properties" xmlns:vt="http://schemas.openxmlformats.org/officeDocument/2006/docPropsVTypes"/>
</file>