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388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21. jūnijā (prot. Nr. 33 58.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2014. gada 16. septembra noteikumos Nr. 550 "Hidrotehnisko un meliorācijas būvju būvnoteikumi"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rsidR="00000000" w:rsidRPr="00000000" w:rsidDel="00000000">
        <w:rPr>
          <w:rStyle w:val="paragraph"/>
          <w:i w:val="1"/>
          <w:rtl w:val="0"/>
        </w:rPr>
        <w:t xml:space="preserve"> 5. panta pirmās daļas 2. punktu un otrās daļas 6. punktu un 14.</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2014. gada 16. septembra noteikumos Nr. 550 "Hidrotehnisko un meliorācijas būvju būvnoteikumi" (Latvijas Vēstnesis, 2014, 193. nr.; 2015, 197. nr.; 2017, 103. nr.; 2018, 128., 191. nr.; 2019, 235. nr.; 2021, 116., 237.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tiesību akta izdošanas pamatojuma norādi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"Izdoti saskaņā ar Būvniecības likuma 5. panta pirmās daļas 2. punktu un otrās daļas 6. punktu un 14.</w:t>
      </w:r>
      <w:r w:rsidR="00000000" w:rsidRPr="00000000" w:rsidDel="00000000">
        <w:rPr>
          <w:vertAlign w:val="superscript"/>
          <w:rtl w:val="0"/>
        </w:rPr>
        <w:t xml:space="preserve">1</w:t>
      </w:r>
      <w:r w:rsidR="00000000" w:rsidRPr="00000000" w:rsidDel="00000000">
        <w:rPr>
          <w:rtl w:val="0"/>
        </w:rPr>
        <w:t xml:space="preserve"> panta ceturto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1.11.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 gadījumus, kuros piemērojama atzīmes veikšana ar noklusējumu.";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22.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Izskatot būvniecības ieceres iesniegumu un šajos noteikumos minētos dokumentus, institūcija, kura pilda būvvaldes funkcijas, vispārīgajos būvnoteikumos noteiktajos termiņos izskata būvniecības ieceres atbilstību normatīvajiem aktiem un pieņem lēmumu atbilstoši Būvniecības likuma 14. panta trešajai daļai.";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22.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Būvniecības likuma 14.</w:t>
      </w:r>
      <w:r w:rsidR="00000000" w:rsidRPr="00000000" w:rsidDel="00000000">
        <w:rPr>
          <w:vertAlign w:val="superscript"/>
          <w:rtl w:val="0"/>
        </w:rPr>
        <w:t xml:space="preserve">1</w:t>
      </w:r>
      <w:r w:rsidR="00000000" w:rsidRPr="00000000" w:rsidDel="00000000">
        <w:rPr>
          <w:rtl w:val="0"/>
        </w:rPr>
        <w:t xml:space="preserve"> panta pirmo daļu attiecībā uz atzīmes veikšanu ar noklusējumu piemēro pirmās grupas hidrobūves vai meliorācijas inženierbūves atjaunošanai vai nojaukšanai.";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60.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"60. Ja izpildīti visi projektēšanas nosacījumi, institūcija, kura pilda būvvaldes funkcijas, vispārīgajos būvnoteikumos noteiktajā termiņā izdara būvniecības informācijas sistēmā atzīmi par projektēšanas nosacījumu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64.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"64. Kad izpildīti būvatļaujā iekļautie būvdarbu uzsākšanas nosacījumi un būvniecības ierosinātājs iesniedzis nepieciešamos dokumentus un informāciju, institūcija, kura pilda būvvaldes funkcijas, vispārīgajos būvnoteikumos noteiktajā termiņā: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64.1. izdara būvatļaujā atzīmi par būvdarbu uzsākšanas nosacījumu izpildi;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64.2. būvatļaujā norāda maksimālo būvdarbu veikšanas ilgumu atbilstoši vispārīgajos būvnoteikumos noteiktajam termiņam, līdz kuram iespējams pagarināt būvatļauju (būvdarbu veikšanu) un līdz kuram būve nododama ekspluatācijā;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64.3. būvatļaujā norāda būvdarbu veicēju un pieaicinātos būvspeciālistus.";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163.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"163. Šo noteikumu 22.</w:t>
      </w:r>
      <w:r w:rsidR="00000000" w:rsidRPr="00000000" w:rsidDel="00000000">
        <w:rPr>
          <w:vertAlign w:val="superscript"/>
          <w:rtl w:val="0"/>
        </w:rPr>
        <w:t xml:space="preserve">1</w:t>
      </w:r>
      <w:r w:rsidR="00000000" w:rsidRPr="00000000" w:rsidDel="00000000">
        <w:rPr>
          <w:rtl w:val="0"/>
        </w:rPr>
        <w:t xml:space="preserve"> punkts piemērojams ar 2023. gada 1. jūliju un attiecas uz būvniecības procesiem, kas noris, izmantojot būvniecības informācijas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izteikt 11.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2022. gada 1. jūlijā.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Indriksone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22-TA-977</w:t>
    </w:r>
    <w:r>
      <w:br/>
    </w:r>
    <w:r w:rsidR="00000000" w:rsidRPr="00000000" w:rsidDel="00000000">
      <w:rPr>
        <w:rtl w:val="0"/>
      </w:rPr>
      <w:t xml:space="preserve">Izdrukāts 30.07.2026. 00.03 - 1.0.VK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22-TA-977</w:t>
    </w:r>
    <w:r>
      <w:br/>
    </w:r>
    <w:r w:rsidR="00000000" w:rsidRPr="00000000" w:rsidDel="00000000">
      <w:rPr>
        <w:rtl w:val="0"/>
      </w:rPr>
      <w:t xml:space="preserve">Izdrukāts 30.07.2026. 00.03 - 1.0.VK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noteikumu_(grozījumu)_projekts_22-TA-977.docx</dc:title>
</cp:coreProperties>
</file>

<file path=docProps/custom.xml><?xml version="1.0" encoding="utf-8"?>
<Properties xmlns="http://schemas.openxmlformats.org/officeDocument/2006/custom-properties" xmlns:vt="http://schemas.openxmlformats.org/officeDocument/2006/docPropsVTypes"/>
</file>