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672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11. novembrī (prot. Nr. 47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17. oktobra noteikumos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17. oktobra noteikumos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 (Latvijas Vēstnesis, 2023, 203. nr.; 2024, 52.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Atbildīgās iestādes funkcijas pasākuma ietvaros pilda Viedās administrācijas un reģionālās attīstības ministrija (turpmāk – atbildīgā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programmas iznākuma rādītāju – komersanti, kas gūst labumu no attīstītās publiskās infrastruktūras, – vismaz 33 komersanti, tai skaitā par Taisnīgas pārkārtošanās fonda finansējumu, kas pieejams līdz 2025. gada 31. decembrim, – vismaz 22 komersanti;".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programmas rezultāta rādītāju – to komersantu izveidotās darba vietas, kuri guvuši labumu no attīstītās publiskās infrastruktūras, – vismaz 486 pilnas slodzes ekvivalenti gadā, tai skaitā par Taisnīgas pārkārtošanās fonda finansējumu, kas pieejams līdz 2025. gada 31. decembrim, – vismaz 363 pilnas slodzes ekvivalenti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10.3.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 programmas rezultāta rādītāju – privātās nefinanšu investīcijas nemateriālajos ieguldījumos un pamatlīdzekļos – vismaz 35 451 833 </w:t>
      </w:r>
      <w:r w:rsidR="00000000" w:rsidRPr="00000000" w:rsidDel="00000000">
        <w:rPr>
          <w:i w:val="1"/>
          <w:rtl w:val="0"/>
        </w:rPr>
        <w:t xml:space="preserve">euro</w:t>
      </w:r>
      <w:r w:rsidR="00000000" w:rsidRPr="00000000" w:rsidDel="00000000">
        <w:rPr>
          <w:rtl w:val="0"/>
        </w:rPr>
        <w:t xml:space="preserve">, tai skaitā par Taisnīgas pārkārtošanās fonda finansējumu, kas pieejams līdz 2025. gada 31. decembrim, – vismaz 28 251 001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Projektā, kuru īsteno šo noteikumu 15.1. apakšpunktā minētajā atlases kārtā, ievēro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darba vietu skaitu projektā plāno, paredzot Taisnīgas pārkārtošanās fonda finansējumu ne vairāk kā 116 777 </w:t>
      </w:r>
      <w:r w:rsidR="00000000" w:rsidRPr="00000000" w:rsidDel="00000000">
        <w:rPr>
          <w:i w:val="1"/>
          <w:rtl w:val="0"/>
        </w:rPr>
        <w:t xml:space="preserve">euro</w:t>
      </w:r>
      <w:r w:rsidR="00000000" w:rsidRPr="00000000" w:rsidDel="00000000">
        <w:rPr>
          <w:rtl w:val="0"/>
        </w:rPr>
        <w:t xml:space="preserve"> uz vienu darba vietu;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ja projektā plānotas izmaksas ielu un ceļu attīstībai, nodrošina, ka pret katru 1 000 000 </w:t>
      </w:r>
      <w:r w:rsidR="00000000" w:rsidRPr="00000000" w:rsidDel="00000000">
        <w:rPr>
          <w:i w:val="1"/>
          <w:rtl w:val="0"/>
        </w:rPr>
        <w:t xml:space="preserve">euro</w:t>
      </w:r>
      <w:r w:rsidR="00000000" w:rsidRPr="00000000" w:rsidDel="00000000">
        <w:rPr>
          <w:rtl w:val="0"/>
        </w:rPr>
        <w:t xml:space="preserve"> no Taisnīgas pārkārtošanās fonda finansējuma ir vismaz viens komersants, kas nodrošina šo noteikumu 10.1. apakšpunktā minēto rādītāju;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13.3. piesaista šo noteikumu 10.3. apakšpunktā minētās privātās nefinanšu investīcijas vismaz divu trešdaļu apmērā no projektam plānotā Taisnīgas pārkārtošanās fonda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Projektā, kuru īsteno šo noteikumu 15.2. apakšpunktā minētajā atlases kārtā, ievēro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 darba vietu skaitu projektā plāno, paredzot Taisnīgas pārkārtošanās fonda finansējumu ne vairāk kā 175 166 </w:t>
      </w:r>
      <w:r w:rsidR="00000000" w:rsidRPr="00000000" w:rsidDel="00000000">
        <w:rPr>
          <w:i w:val="1"/>
          <w:rtl w:val="0"/>
        </w:rPr>
        <w:t xml:space="preserve">euro </w:t>
      </w:r>
      <w:r w:rsidR="00000000" w:rsidRPr="00000000" w:rsidDel="00000000">
        <w:rPr>
          <w:rtl w:val="0"/>
        </w:rPr>
        <w:t xml:space="preserve">uz vienu darba vietu;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 piesaista šo noteikumu 10.3. apakšpunktā minētās privātās nefinanšu investīcijas vismaz vienas trešdaļas apmērā no projektam plānotā Taisnīgas pārkārtošanās fonda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Pasākuma ietvaros plānotais kopējais finansējums ir 75 077 473 </w:t>
      </w:r>
      <w:r w:rsidR="00000000" w:rsidRPr="00000000" w:rsidDel="00000000">
        <w:rPr>
          <w:i w:val="1"/>
          <w:rtl w:val="0"/>
        </w:rPr>
        <w:t xml:space="preserve">euro</w:t>
      </w:r>
      <w:r w:rsidR="00000000" w:rsidRPr="00000000" w:rsidDel="00000000">
        <w:rPr>
          <w:rtl w:val="0"/>
        </w:rPr>
        <w:t xml:space="preserve">, ko veido Taisnīgas pārkārtošanās fonda finansējums 63 978 997 </w:t>
      </w:r>
      <w:r w:rsidR="00000000" w:rsidRPr="00000000" w:rsidDel="00000000">
        <w:rPr>
          <w:i w:val="1"/>
          <w:rtl w:val="0"/>
        </w:rPr>
        <w:t xml:space="preserve">euro</w:t>
      </w:r>
      <w:r w:rsidR="00000000" w:rsidRPr="00000000" w:rsidDel="00000000">
        <w:rPr>
          <w:rtl w:val="0"/>
        </w:rPr>
        <w:t xml:space="preserve"> un nacionālais finansējums (pašvaldību finansējums vai privātais finansējums) ne mazāk kā 11 098 476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 pirmās atlases kārtas ietvaros pieejamais finansējums ir 49 854 709 </w:t>
      </w:r>
      <w:r w:rsidR="00000000" w:rsidRPr="00000000" w:rsidDel="00000000">
        <w:rPr>
          <w:i w:val="1"/>
          <w:rtl w:val="0"/>
        </w:rPr>
        <w:t xml:space="preserve">euro</w:t>
      </w:r>
      <w:r w:rsidR="00000000" w:rsidRPr="00000000" w:rsidDel="00000000">
        <w:rPr>
          <w:rtl w:val="0"/>
        </w:rPr>
        <w:t xml:space="preserve">, ko veido Taisnīgas pārkārtošanās fonda finansējums 42 376 501 </w:t>
      </w:r>
      <w:r w:rsidR="00000000" w:rsidRPr="00000000" w:rsidDel="00000000">
        <w:rPr>
          <w:i w:val="1"/>
          <w:rtl w:val="0"/>
        </w:rPr>
        <w:t xml:space="preserve">euro</w:t>
      </w:r>
      <w:r w:rsidR="00000000" w:rsidRPr="00000000" w:rsidDel="00000000">
        <w:rPr>
          <w:rtl w:val="0"/>
        </w:rPr>
        <w:t xml:space="preserve"> un nacionālais finansējums ne mazāk kā 7 478 208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15.1.1. Kurzemes statistiskā reģiona projektu īstenošanai – Taisnīgas pārkārtošanās fonda finansējums 10 267 610 </w:t>
      </w:r>
      <w:r w:rsidR="00000000" w:rsidRPr="00000000" w:rsidDel="00000000">
        <w:rPr>
          <w:i w:val="1"/>
          <w:rtl w:val="0"/>
        </w:rPr>
        <w:t xml:space="preserve">euro</w:t>
      </w:r>
      <w:r w:rsidR="00000000" w:rsidRPr="00000000" w:rsidDel="00000000">
        <w:rPr>
          <w:rtl w:val="0"/>
        </w:rPr>
        <w:t xml:space="preserve"> un nacionālais finansējums ne mazāk kā 1 811 932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15.1.2. Zemgales statistiskā reģiona projektu īstenošanai – Taisnīgas pārkārtošanās fonda finansējums 9 978 676 </w:t>
      </w:r>
      <w:r w:rsidR="00000000" w:rsidRPr="00000000" w:rsidDel="00000000">
        <w:rPr>
          <w:i w:val="1"/>
          <w:rtl w:val="0"/>
        </w:rPr>
        <w:t xml:space="preserve">euro</w:t>
      </w:r>
      <w:r w:rsidR="00000000" w:rsidRPr="00000000" w:rsidDel="00000000">
        <w:rPr>
          <w:rtl w:val="0"/>
        </w:rPr>
        <w:t xml:space="preserve"> un nacionālais finansējums ne mazāk kā 1 760 943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15.1.3. Vidzemes statistiskā reģiona projektu īstenošanai – Taisnīgas pārkārtošanās fonda finansējums 10 931 669 </w:t>
      </w:r>
      <w:r w:rsidR="00000000" w:rsidRPr="00000000" w:rsidDel="00000000">
        <w:rPr>
          <w:i w:val="1"/>
          <w:rtl w:val="0"/>
        </w:rPr>
        <w:t xml:space="preserve">euro</w:t>
      </w:r>
      <w:r w:rsidR="00000000" w:rsidRPr="00000000" w:rsidDel="00000000">
        <w:rPr>
          <w:rtl w:val="0"/>
        </w:rPr>
        <w:t xml:space="preserve"> un nacionālais finansējums ne mazāk kā 1 929 119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15.1.4. Latgales statistiskā reģiona projektu īstenošanai – Taisnīgas pārkārtošanās fonda finansējums 11 198 546 </w:t>
      </w:r>
      <w:r w:rsidR="00000000" w:rsidRPr="00000000" w:rsidDel="00000000">
        <w:rPr>
          <w:i w:val="1"/>
          <w:rtl w:val="0"/>
        </w:rPr>
        <w:t xml:space="preserve">euro</w:t>
      </w:r>
      <w:r w:rsidR="00000000" w:rsidRPr="00000000" w:rsidDel="00000000">
        <w:rPr>
          <w:rtl w:val="0"/>
        </w:rPr>
        <w:t xml:space="preserve"> un nacionālais finansējums ne mazāk kā 1 976 214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 otrās atlases kārtas ietvaros plānotais finansējums ir ne mazāks kā 25 222 764 </w:t>
      </w:r>
      <w:r w:rsidR="00000000" w:rsidRPr="00000000" w:rsidDel="00000000">
        <w:rPr>
          <w:i w:val="1"/>
          <w:rtl w:val="0"/>
        </w:rPr>
        <w:t xml:space="preserve">euro</w:t>
      </w:r>
      <w:r w:rsidR="00000000" w:rsidRPr="00000000" w:rsidDel="00000000">
        <w:rPr>
          <w:rtl w:val="0"/>
        </w:rPr>
        <w:t xml:space="preserve">, ko veido Taisnīgas pārkārtošanās fonda finansējums 21 602 496 </w:t>
      </w:r>
      <w:r w:rsidR="00000000" w:rsidRPr="00000000" w:rsidDel="00000000">
        <w:rPr>
          <w:i w:val="1"/>
          <w:rtl w:val="0"/>
        </w:rPr>
        <w:t xml:space="preserve">euro</w:t>
      </w:r>
      <w:r w:rsidR="00000000" w:rsidRPr="00000000" w:rsidDel="00000000">
        <w:rPr>
          <w:rtl w:val="0"/>
        </w:rPr>
        <w:t xml:space="preserve"> un nacionālais finansējums ne mazāk kā 3 620 268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15.2.1. statistiskajiem reģioniem otrās atlases kārtas sākumā kopējais individuāli plānotais finansējums ir ne mazāks kā 4 121 699 </w:t>
      </w:r>
      <w:r w:rsidR="00000000" w:rsidRPr="00000000" w:rsidDel="00000000">
        <w:rPr>
          <w:i w:val="1"/>
          <w:rtl w:val="0"/>
        </w:rPr>
        <w:t xml:space="preserve">euro</w:t>
      </w:r>
      <w:r w:rsidR="00000000" w:rsidRPr="00000000" w:rsidDel="00000000">
        <w:rPr>
          <w:rtl w:val="0"/>
        </w:rPr>
        <w:t xml:space="preserve">, ko veido Taisnīgas pārkārtošanās fonda finansējums 3 666 591 </w:t>
      </w:r>
      <w:r w:rsidR="00000000" w:rsidRPr="00000000" w:rsidDel="00000000">
        <w:rPr>
          <w:i w:val="1"/>
          <w:rtl w:val="0"/>
        </w:rPr>
        <w:t xml:space="preserve">euro </w:t>
      </w:r>
      <w:r w:rsidR="00000000" w:rsidRPr="00000000" w:rsidDel="00000000">
        <w:rPr>
          <w:rtl w:val="0"/>
        </w:rPr>
        <w:t xml:space="preserve">un nacionālais līdzfinansējums ne mazāk kā 455 108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15.2.1.1. Zemgales statistiskā reģiona projektu īstenošanai – Taisnīgas pārkārtošanās fonda finansējums 657 278 </w:t>
      </w:r>
      <w:r w:rsidR="00000000" w:rsidRPr="00000000" w:rsidDel="00000000">
        <w:rPr>
          <w:i w:val="1"/>
          <w:rtl w:val="0"/>
        </w:rPr>
        <w:t xml:space="preserve">euro </w:t>
      </w:r>
      <w:r w:rsidR="00000000" w:rsidRPr="00000000" w:rsidDel="00000000">
        <w:rPr>
          <w:rtl w:val="0"/>
        </w:rPr>
        <w:t xml:space="preserve">un nacionālais finansējums ne mazāk kā 115 991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15.2.1.2. Vidzemes statistiskā reģiona projektu īstenošanai – Taisnīgas pārkārtošanās fonda finansējums 72 630 </w:t>
      </w:r>
      <w:r w:rsidR="00000000" w:rsidRPr="00000000" w:rsidDel="00000000">
        <w:rPr>
          <w:i w:val="1"/>
          <w:rtl w:val="0"/>
        </w:rPr>
        <w:t xml:space="preserve">euro </w:t>
      </w:r>
      <w:r w:rsidR="00000000" w:rsidRPr="00000000" w:rsidDel="00000000">
        <w:rPr>
          <w:rtl w:val="0"/>
        </w:rPr>
        <w:t xml:space="preserve">un nacionālais finansējums ne mazāk kā 12 818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15.2.1.3. Latgales statistiskā reģiona projektu īstenošanai – Taisnīgas pārkārtošanās fonda finansējums 2 936 683 </w:t>
      </w:r>
      <w:r w:rsidR="00000000" w:rsidRPr="00000000" w:rsidDel="00000000">
        <w:rPr>
          <w:i w:val="1"/>
          <w:rtl w:val="0"/>
        </w:rPr>
        <w:t xml:space="preserve">euro </w:t>
      </w:r>
      <w:r w:rsidR="00000000" w:rsidRPr="00000000" w:rsidDel="00000000">
        <w:rPr>
          <w:rtl w:val="0"/>
        </w:rPr>
        <w:t xml:space="preserve">un nacionālais finansējums ne mazāk kā 326 299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15.2.2. šo noteikumu 22. punktā minētajiem projektu iesniedzējiem otrajā atlases kārtā plānotais finansējums (visiem kopējs) ir ne mazāks kā 21 101 065 </w:t>
      </w:r>
      <w:r w:rsidR="00000000" w:rsidRPr="00000000" w:rsidDel="00000000">
        <w:rPr>
          <w:i w:val="1"/>
          <w:rtl w:val="0"/>
        </w:rPr>
        <w:t xml:space="preserve">euro</w:t>
      </w:r>
      <w:r w:rsidR="00000000" w:rsidRPr="00000000" w:rsidDel="00000000">
        <w:rPr>
          <w:rtl w:val="0"/>
        </w:rPr>
        <w:t xml:space="preserve">, ko veido Taisnīgas pārkārtošanās fonda finansējums 17 935 905 </w:t>
      </w:r>
      <w:r w:rsidR="00000000" w:rsidRPr="00000000" w:rsidDel="00000000">
        <w:rPr>
          <w:i w:val="1"/>
          <w:rtl w:val="0"/>
        </w:rPr>
        <w:t xml:space="preserve">euro</w:t>
      </w:r>
      <w:r w:rsidR="00000000" w:rsidRPr="00000000" w:rsidDel="00000000">
        <w:rPr>
          <w:rtl w:val="0"/>
        </w:rPr>
        <w:t xml:space="preserve"> un nacionālais līdzfinansējums ne mazāk kā 3 165 160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16.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Taisnīgas pārkārtošanās fonda finansējumu, par kuru sadarbības iestādē otrās atlases kārtas ietvaros netiek iesniegti projekti šo noteikumu 15.2.1. apakšpunktā minētā finansējuma apmērā, kā arī neizmantoto pirmās un otrās atlases kārtas Taisnīgas pārkārtošanās fonda finansējumu un to Taisnīgas pārkārtošanās fonda finansējumu, kas atbrīvojies pirmās un otrās atlases kārtas projektu īstenošanas rezultātā, novirza otrajai atlases kārtai atbilstoši šo noteikumu 15.2.2.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Pirmajā un otrajā atlases kārtā šo noteikumu 22. punktā minētajam projekta iesniedzējam un šo noteikumu 23.2., 23.3., 23.4. un 23.5. apakšpunktā minētajam sadarbības partnerim, uz kuru nav attiecināms Rīcības plāns Latvijas Austrumu pierobežas ekonomiskajai izaugsmei un drošības stiprināšanai 2025.–2027. gadam (apstiprināts ar Ministru kabineta 2025. gada 20. janvāra rīkojumu Nr. 32 "Par Rīcības plānu Latvijas Austrumu pierobežas ekonomiskajai izaugsmei un drošības stiprināšanai 2025.–2027. gadam") (turpmāk – Latvijas Austrumu pierobežas plāns), projekta iesnieguma maksimālais Taisnīgas pārkārtošanās fonda finansējuma apmērs nepārsniedz 85 procentus no projekta iesnieguma attiecināmo izmaksu summas, izņemot gadījumu, ja šo noteikumu 32.9.1. apakšpunktā minēto izmaksu finansēšanai tiek piešķirts </w:t>
      </w:r>
      <w:r w:rsidR="00000000" w:rsidRPr="00000000" w:rsidDel="00000000">
        <w:rPr>
          <w:i w:val="1"/>
          <w:rtl w:val="0"/>
        </w:rPr>
        <w:t xml:space="preserve">de minimis</w:t>
      </w:r>
      <w:r w:rsidR="00000000" w:rsidRPr="00000000" w:rsidDel="00000000">
        <w:rPr>
          <w:rtl w:val="0"/>
        </w:rPr>
        <w:t xml:space="preserve"> atbalsts vai tiek piešķirts šo noteikumu 50. punktā minētais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18.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Otrajā atlases kārtā šo noteikumu 22. punktā minētajam projekta iesniedzējam un šo noteikumu 23.2., 23.3., 23.4. un 23.5. apakšpunktā minētajam sadarbības partnerim, uz kuru ir attiecināms Latvijas Austrumu pierobežas plāns, projekta iesnieguma maksimālais Taisnīgas pārkārtošanās fonda finansējuma apmērs nepārsniedz 90 procentus no projekta iesnieguma attiecināmo izmaksu summas, izņemot gadījumu, ja šo noteikumu 32.9.1. apakšpunktā minēto izmaksu finansēšanai tiek piešķirts </w:t>
      </w:r>
      <w:r w:rsidR="00000000" w:rsidRPr="00000000" w:rsidDel="00000000">
        <w:rPr>
          <w:i w:val="1"/>
          <w:rtl w:val="0"/>
        </w:rPr>
        <w:t xml:space="preserve">de minimis </w:t>
      </w:r>
      <w:r w:rsidR="00000000" w:rsidRPr="00000000" w:rsidDel="00000000">
        <w:rPr>
          <w:rtl w:val="0"/>
        </w:rPr>
        <w:t xml:space="preserve">atbalsts vai tiek piešķirts šo noteikumu 50. punktā minētais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Nacionālais finansējums var būt mazāks par šo noteikumu 14. un 15. punktā minēto finansējumu,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iestājas šo noteikumu 18.</w:t>
      </w:r>
      <w:r w:rsidR="00000000" w:rsidRPr="00000000" w:rsidDel="00000000">
        <w:rPr>
          <w:vertAlign w:val="superscript"/>
          <w:rtl w:val="0"/>
        </w:rPr>
        <w:t xml:space="preserve">1</w:t>
      </w:r>
      <w:r w:rsidR="00000000" w:rsidRPr="00000000" w:rsidDel="00000000">
        <w:rPr>
          <w:rtl w:val="0"/>
        </w:rPr>
        <w:t xml:space="preserve"> punktā minētais gadījums;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 noteikumu 32.9.1. apakšpunktā minēto izmaksu finansēšanai tiek piešķirts </w:t>
      </w:r>
      <w:r w:rsidR="00000000" w:rsidRPr="00000000" w:rsidDel="00000000">
        <w:rPr>
          <w:i w:val="1"/>
          <w:rtl w:val="0"/>
        </w:rPr>
        <w:t xml:space="preserve">de minimis</w:t>
      </w:r>
      <w:r w:rsidR="00000000" w:rsidRPr="00000000" w:rsidDel="00000000">
        <w:rPr>
          <w:rtl w:val="0"/>
        </w:rPr>
        <w:t xml:space="preserve"> atbalsts;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19.3. tiek piešķirts šo noteikumu 50. punktā minētais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Projekta iesniedzējs pirmajā atlases kārtā atbilstoši sadarbības iestādes izstrādātajiem metodiskajiem norādījumiem veic izmaksu un ieguvumu analīzi (finanšu analīzi un ekonomisko analīzi), ievērojot, ka projekta ekonomiskā ienesīguma norma ir lielāka par sociālo diskonta likmi un projekta ekonomiskā neto pašreizējā vērtība ir lielāka par nulli."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28.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Projekta iesniedzējs otrajā atlases kārtā atbilstoši sadarbības iestādes izstrādātajiem metodiskajiem norādījumiem izmaksu un ieguvumu analīzi (finanšu analīzi) veic, ja projektā plānots piemērot regulas Nr. 651/2014 56. pantā paredzēto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29.2.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32.1.7.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"32.1.7. ar elektroenerģiju darbināmu bezemisiju transportlīdzekļu uzlādes infrastruktūras izbūve uzņēmējdarbības teritorijā;".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32.3.1.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"32.3.1. satiksmes pārvadu, ielu, ceļu (tai skaitā tādu, kam ir ar saistvielām nesaistītu minerālmateriālu maisījuma segums, ja būvē jaunu ceļu vai ielu) infrastruktūras attīstība un ar to saistītās infrastruktūras (piemēram, stāvlaukumi, pieturvietas, caurtekas) būvniecība, pārbūve vai atjaunošana;".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32.4.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"32.4. uzņēmējdarbības mērķiem paredzēto ēku (izņemot ēkas, kuras šo noteikumu 30.3. apakšpunktā norādītas kā neatbalstāmas) un ar tām saistītās infrastruktūras attīstīšanas izmaksas, tai skaitā: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32.4.1. ēku un ar tām saistītās infrastruktūras, tai skaitā palīgēku, ārējās ugunsdzēsības infrastruktūras būvniecība, pārbūve vai atjaunošana;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32.4.2. ēkas funkcionalitātes nodrošināšanai nepieciešamās ūdenssaimniecības un siltumapgādes pieslēgumu un elektroenerģijas pieslēgumu būvniecība, pārbūve vai atjaunošana;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32.4.3. inženiertehnisko sistēmu un iekārtu iegāde un uzstādīšana, kas uzkrāj vai ražo enerģiju no atjaunojamiem energoresursiem, tai skaitā šo sistēmu un iekārtu funkcionalitātei nepieciešamo inženierbūvju būvniecība, kas ir minēto sistēmu un iekārtu sastāvdaļa (ievērojot nosacījumu, ka saražoto enerģiju izmanto projekta ietvaros attīstītajā ēkas infrastruktūrā). Minētās izmaksas nepārsniedz 50 procentus no projekta kopējām attiecināmajām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32.4.4. tādu iekārtu un aprīkojuma iegāde un uzstādīšana, kas paredzēts būvprojektā un nepieciešams būves vai tās daļas pieņemšanai ekspluatācijā vai kas nepieciešams ēkas funkcionalitātes nodrošināšanai un kas veido ēkas kopējo neatdalāmo infrastruktūru, tai skaitā telpu apgaismojums, apkure, gaisa dzesēšana, ventilācija un vājstrāvu tīklu izbūve vai esošo vājstrāvu tīklu pārbūve, tai skaitā telekomunikāciju, apsardzes signalizācijas, ugunsdzēsības automātikas, piekļuves kontroles tīkli un videonovērošanas sistēmas;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32.4.5. ēkas enerģijas patēriņa vadībai nepieciešamo viedo tehnoloģiju iegāde un uzstādīšana;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32.4.6. "zaļās" infrastruktūras vai enerģiju taupošu risinājumu izmantošana, tai skaitā "zaļie jumti", "zaļās sienas" un citi dabiski materiāli, kas tiek izmantoti būves celtniecībā;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32.4.7. ar elektroenerģiju darbināmu bezemisiju transportlīdzekļu uzlādes infrastruktūras izbūve uzņēmējdarbības teritorijā, ja tā ir daļa no ēkas, tai skaitā palīgēku, infrastruktūras;".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Papildināt ar 32.5.</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vertAlign w:val="superscript"/>
          <w:rtl w:val="0"/>
        </w:rPr>
        <w:t xml:space="preserve">1</w:t>
      </w:r>
      <w:r w:rsidR="00000000" w:rsidRPr="00000000" w:rsidDel="00000000">
        <w:rPr>
          <w:rtl w:val="0"/>
        </w:rPr>
        <w:t xml:space="preserve"> elektronisko sakaru tīklu aizsardzības izmaksas, nepalielinot apkalpes jaudu raksturojošos tehniskos parametrus, ja, veicot projektā plānotās satiksmes pārvadu, ielu, ceļu vai dzelzceļa pieslēgumu infrastruktūras būvniecības, teritorijas labiekārtošanas, remediācijas vai sanācijas darbības, saskaņā ar sertificēta būvinženiera ekspertīzes atzinumu pastāv elektronisko sakaru tīklu bojāšanas risks, kā arī nodrošinot, ka investīcijas nerada priekšrocības inženiertīklu īpašniekam un atbilst komercdarbības atbalsta sniegšanas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35.1.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"35.1. publiska persona – savā vai citas publiskas personas īpašumā vai valdījumā esošā īpašumā, ja valdījuma tiesības ir iegūtas uz termiņu, kas nav īsāks par pieciem gadiem no dienas, kad veikts projekta noslēguma maksājums finansējuma saņēmējam, un par projekta ieguldījumiem citas publiskas personas īpašumā vai valdījumā esošā īpašumā ir savstarpēja vienošanās. Ja plānots piemērot regulas Nr. 651/2014 41. pantā paredzēto atbalstu, ievēro šo noteikumu 53.1. apakšpunktā minētos nosacījumus. Ja plānots piemērot regulas Nr. 651/2014 45. pantā paredzēto atbalstu, ievēro šo noteikumu 54.1. apakšpunktā minētos nosacījumus. Ja plānots piemērot regulas Nr. 651/2014 56. pantā paredzēto atbalstu, ievēro šo noteikumu 55. punktā minētos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Projekta iesniedzēja un sadarbības partnera tiesības veikt ieguldījumus nekustamajā īpašumā nostiprina zemesgrāmatās līdz projekta noslēguma maksājuma veikšanai (izņemot gadījumu, ja pašvaldības īpašums uz normatīvā akta, līguma vai pašvaldības lēmuma pamata ir nodots pašvaldības iestādes – projekta iesniedzēja – pārvaldīšanā) vai reģistrē zemes īpašuma apgrūtinājumu normatīvajos aktos noteiktajā kārtībā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Papildināt ar 37.4.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"37.4. finansējumu nepiešķir ceļu satiksmei paredzētās infrastruktūras uzturēšanas darbiem un seguma atjaunošanas darbiem, kuriem saskaņā ar autoceļu un ielu būvnoteikumiem nav nepieciešama būvniecības ieceres dokumentācija."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44.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Projektā plānotajām darbībām un izmaksām, kurām atbalsts nav kvalificējams kā komercdarbības atbalsts (piemēram, publiski pieejamu pievedceļu vai stāvlaukumu atjaunošana vai ierīkošana pie pašvaldības noteiktām uzņēmējdarbības teritorijām), maksimālā Taisnīgas pārkārtošanās fonda finansējuma intensitāte atbilstoši šo noteikumu 18. punktam nepārsniedz 85 procentus, bet atbilstoši šo noteikumu 18.</w:t>
      </w:r>
      <w:r w:rsidR="00000000" w:rsidRPr="00000000" w:rsidDel="00000000">
        <w:rPr>
          <w:vertAlign w:val="superscript"/>
          <w:rtl w:val="0"/>
        </w:rPr>
        <w:t xml:space="preserve">1</w:t>
      </w:r>
      <w:r w:rsidR="00000000" w:rsidRPr="00000000" w:rsidDel="00000000">
        <w:rPr>
          <w:rtl w:val="0"/>
        </w:rPr>
        <w:t xml:space="preserve"> punktam nepārsniedz 90 procentus no projekta kopējām attiecināmajām izmaksām vai attiecīgās izmaksu pozīcijas kopējām attiecināmajām izmaksām. Finansējumu var saņemt projekta iesniedzējs, kas ir pašvaldība, tās izveidota iestāde, speciālās ekonomiskās zonas pārvalde, pašvaldības kapitālsabiedrība, kas veic pašvaldības deleģētos pārvaldes uzdevumus, vai publiski privātā kapitālsabiedrība."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48.1.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"48.1. atbalstu piešķir sākotnējiem ieguldījumiem šo noteikumu 32.4.1., 32.4.2., 32.4.3., 32.4.4., 32.4.5., 32.4.6. un 32.4.7. apakšpunktā minētajām uzņēmējdarbības mērķiem paredzēto ēku un ar tām saistītās infrastruktūras attīstīšanas izmaksām, šo noteikumu 32.1.1., 32.1.3., 32.1.4., 32.1.5., 32.1.6., 32.1.7. un 32.1.8. apakšpunktā minētajām uzņēmējdarbības teritorijas attīstīšanas un labiekārtošanas izmaksām, šo noteikumu 32.3.1., 32.3.2., 32.3.3., 32.3.4., 32.3.5. apakšpunktā minētajām satiksmes infrastruktūras, tai skaitā stāvlaukumu, izmaksām, ko attīsta kā mērķorientētu infrastruktūru, šo noteikumu 32.2.2. apakšpunktā minētajām elektroenerģijas infrastruktūras izmaksām, šo noteikumu 32.5. apakšpunktā minētajām komunikāciju pārbūves izmaksām, šo noteikumu 32.5.</w:t>
      </w:r>
      <w:r w:rsidR="00000000" w:rsidRPr="00000000" w:rsidDel="00000000">
        <w:rPr>
          <w:vertAlign w:val="superscript"/>
          <w:rtl w:val="0"/>
        </w:rPr>
        <w:t xml:space="preserve">1</w:t>
      </w:r>
      <w:r w:rsidR="00000000" w:rsidRPr="00000000" w:rsidDel="00000000">
        <w:rPr>
          <w:rtl w:val="0"/>
        </w:rPr>
        <w:t xml:space="preserve"> apakšpunktā minētajām elektronisko sakaru tīklu aizsardzības izmaksām un šo noteikumu 33. punktā minētajām izmaksām. Ņemot vērā šajā apakšpunktā minētos nosacījumus, atbalstu piešķir ieguldījumiem materiālajos aktīvos (piemēram, uzņēmējdarbības teritorija, uzņēmējdarbības teritorijas iekšējie ceļi, kas nav publiski pieejami, komersantiem pielāgotas ēkas), kas attiecas uz jaunas uzņēmējdarbības vietas izveidi, esošas uzņēmējdarbības vietas jaudas palielināšanu, uzņēmējdarbības vietas produkcijas dažādošanu ar produktiem, kuri uzņēmējdarbības vietā iepriekš nav ražoti, vai būtiskām pārmaiņām esošas uzņēmējdarbības vietas kopējā ražošanas procesā. Ar mērķorientētu infrastruktūru saprot tādu infrastruktūru, kas atbilst regulas Nr. 651/2014 2. panta 33. punktā minētajai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48.2.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"48.2. šo noteikumu 32.1.1., 32.2.2., 32.5., 32.5.</w:t>
      </w:r>
      <w:r w:rsidR="00000000" w:rsidRPr="00000000" w:rsidDel="00000000">
        <w:rPr>
          <w:vertAlign w:val="superscript"/>
          <w:rtl w:val="0"/>
        </w:rPr>
        <w:t xml:space="preserve">1</w:t>
      </w:r>
      <w:r w:rsidR="00000000" w:rsidRPr="00000000" w:rsidDel="00000000">
        <w:rPr>
          <w:rtl w:val="0"/>
        </w:rPr>
        <w:t xml:space="preserve">, 32.7. un 32.9.2. apakšpunktā minētās izmaksas (piemēram, būvju nojaukšana, elektroenerģijas pieslēguma izbūve, teritorijas attīrīšana, autoruzraudzība, būvuzraudzība, arheoloģiskā uzraudzība, nodošana ekspluatācijā) un šo noteikumu 32.10. apakšpunktā minētās projekta iesniedzēja izmaksas ir attiecināmas, ja tās veido projekta ietvaros radīto pamatlīdzekļu vērtību;".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51.1.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"51.1. atbalstu piešķir šo noteikumu 32.4.1., 32.4.2., 32.4.4., 32.4.5. un 32.4.6. apakšpunktā minētajām uzņēmējdarbības mērķiem paredzēto ēku un ar tām saistītās infrastruktūras attīstīšanas izmaksām, šo noteikumu 32.1.1., 32.1.2., 32.1.3., 32.1.4., 32.1.5. un 32.1.6. apakšpunktā minētajām uzņēmējdarbības teritorijas attīstīšanas un labiekārtošanas izmaksām, šo noteikumu 32.3.1., 32.3.2., 32.3.3., un 32.3.4. apakšpunktā minētajām satiksmes infrastruktūras, tai skaitā stāvlaukumu, izmaksām, šo noteikumu 32.2.2. apakšpunktā minētajām elektroenerģijas infrastruktūras izmaksām, šo noteikumu 32.5. apakšpunktā minētajām komunikāciju pārbūves izmaksām, šo noteikumu 32.5.</w:t>
      </w:r>
      <w:r w:rsidR="00000000" w:rsidRPr="00000000" w:rsidDel="00000000">
        <w:rPr>
          <w:vertAlign w:val="superscript"/>
          <w:rtl w:val="0"/>
        </w:rPr>
        <w:t xml:space="preserve">1</w:t>
      </w:r>
      <w:r w:rsidR="00000000" w:rsidRPr="00000000" w:rsidDel="00000000">
        <w:rPr>
          <w:rtl w:val="0"/>
        </w:rPr>
        <w:t xml:space="preserve"> apakšpunktā minētajām elektronisko sakaru tīklu aizsardzības izmaksām un šo noteikumu 33. punktā minētajām izmaksām. Ņemot vērā šajā apakšpunktā minētos nosacījumus, atbalstu piešķir ieguldījumiem materiālajos aktīvos (piemēram, uzņēmējdarbības teritoriju vai ēku un ar tām saistītās infrastruktūras būvniecībai vai atjaunošanai);".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51.5.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"51.5. atbalsta summa nepārsniedz starpību starp attiecināmajām izmaksām un pamatdarbības peļņu no ieguldījuma atbilstoši projekta iesnieguma pielikumā pievienotajai izmaksu un ieguvumu analīzei. Ar pamatdarbības peļņu saprot tādu peļņu, kas atbilst regulas Nr. 651/2014 2. panta 39. punktā minētajai definīcijai. Ņemot vērā šajā apakšpunktā minēto nosacījumu, atbalsta summa projektam vai attiecīgajai izmaksu pozīcijai tiek noteikta individuāli. Atbalsta intensitāte projekta iesniedzējam un sadarbības partnerim, uz kuru ir attiecināms šo noteikumu 18. punkts, nepārsniedz 85 procentus, bet projekta iesniedzējam un sadarbības partnerim, uz kuru ir attiecināms šo noteikumu 18.</w:t>
      </w:r>
      <w:r w:rsidR="00000000" w:rsidRPr="00000000" w:rsidDel="00000000">
        <w:rPr>
          <w:vertAlign w:val="superscript"/>
          <w:rtl w:val="0"/>
        </w:rPr>
        <w:t xml:space="preserve">1</w:t>
      </w:r>
      <w:r w:rsidR="00000000" w:rsidRPr="00000000" w:rsidDel="00000000">
        <w:rPr>
          <w:rtl w:val="0"/>
        </w:rPr>
        <w:t xml:space="preserve"> punkts, nepārsniedz 90 procentus no projekta vai attiecīgās izmaksu pozīcijas attiecināmo izmaksu summas. Pārējās attiecināmās izmaksas attiecīgajai izmaksu pozīcijai finansē no finansējuma, par kuru nav saņemts nekāda veida komercdarbības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58.3.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"58.3. 1. panta 4. punkta "a" apakšpunkta nosacījumi, ka atbalsts netiek sniegts saņēmējam uzņēmuma grupas līmenī, uz kuru attiecas līdzekļu atgūšanas rīkojums saskaņā ar iepriekšēju Eiropas Komisijas lēmumu, ar ko atbalsts tiek atzīts par nelikumīgu un nesaderīgu ar kopējo tirgu;".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58.4.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"58.4. atbalsts netiek piešķirts grūtībās nonākušam uzņēmumam uzņēmuma grupas līmenī (tai skaitā grūtībās nonākušai pašvaldības kapitālsabiedrībai, kas ir noslēgusi pakalpojumu līgumu par sabiedrisko pakalpojumu sniegšanu), kurš atbilst vismaz vienai no regulas Nr. 651/2014 2. panta 18. punktā paredzētajām situācijām;".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58.5.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"58.5. 4. panta 1. punkta "a", "s" un "cc" apakšpunkta nosacījumi, ka individuālais atbalsts uzņēmuma grupas līmenī nepārsniedz šajos apakšpunktos noteiktās paziņošanas robežvērtības;".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62.2.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"62.2. maksimālā Taisnīgas pārkārtošanās fonda finansējuma atbalsta intensitāte projekta iesniedzējam un sadarbības partnerim, uz kuru ir attiecināms šo noteikumu 18. punkts, nepārsniedz 85 procentus, bet projekta iesniedzējam un sadarbības partnerim, uz kuru ir attiecināms šo noteikumu 18.</w:t>
      </w:r>
      <w:r w:rsidR="00000000" w:rsidRPr="00000000" w:rsidDel="00000000">
        <w:rPr>
          <w:vertAlign w:val="superscript"/>
          <w:rtl w:val="0"/>
        </w:rPr>
        <w:t xml:space="preserve">1</w:t>
      </w:r>
      <w:r w:rsidR="00000000" w:rsidRPr="00000000" w:rsidDel="00000000">
        <w:rPr>
          <w:rtl w:val="0"/>
        </w:rPr>
        <w:t xml:space="preserve"> punkts, nepārsniedz 90 procentus no projekta kopējām attiecināmajām izmaksām vai attiecīgās izmaksu pozīcijas kopējām attiecināmajām izmaksām, kas ir saistītas ar sabiedriskā pakalpojuma sniegšanu, un atbalsts nepārsniedz 15 000 000 </w:t>
      </w:r>
      <w:r w:rsidR="00000000" w:rsidRPr="00000000" w:rsidDel="00000000">
        <w:rPr>
          <w:i w:val="1"/>
          <w:rtl w:val="0"/>
        </w:rPr>
        <w:t xml:space="preserve">euro</w:t>
      </w:r>
      <w:r w:rsidR="00000000" w:rsidRPr="00000000" w:rsidDel="00000000">
        <w:rPr>
          <w:rtl w:val="0"/>
        </w:rPr>
        <w:t xml:space="preserve"> vidēji gadā vienam ūdenssaimniecības un siltumapgādes sabiedrisko pakalpojumu 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63.4.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"63.4.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 Dokumentāciju par atbalsta piešķiršanu sadarbības iestāde glabā 10 gadus no pasākuma ietvaros pēdējā piešķirtā atbalsta, bet finansējuma saņēmējs un sadarbības partneris – 10 gadus no atbalsta piešķiršanas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72.2.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"72.2. ievēro principu "Vienlīdzība, iekļaušana, nediskriminācija un pamattiesību ievērošana" un uzkrāj datus par projekta ietekmi uz horizontālo principu rādītājiem, tai skaitā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72.2.1. to objektu skaits, kuros ar Taisnīgas pārkārtošanās fonda ieguldījumiem ir nodrošināta vides un informācijas pieejamība;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72.2.2. konsultatīva rakstura pasākumu skaits par būvētās vides piekļūstamību personām ar dažādiem funkcionāliem traucējumiem (piemēram, vides piekļūstamības ekspertu konsultācijas būvprojekta izstrādes un pabeigšanas posmā);".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72.3.2.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"72.3.2. energoefektivitāte pirmajā vietā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Izteikt 72.4.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"72.4. sniedz sadarbības iestādei informāciju par šo noteikumu 72.2. apakšpunktā minētajiem horizontālo principu rādītājiem (ja attiecināms) un informāciju par šo noteikumu 10. punktā minēto rādītāju vērtību sasniegšanu;".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Izteikt 72.5.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"72.5. otrajā kalendāra gadā pēc projekta īstenošanas informē sadarbības iestādi par enerģijas patēriņu (megavatstundas) pirmajā kalendāra gadā pēc projekta īstenošanas, ja projektā veiktas šo noteikumu 29.1. apakšpunktā minētās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Svītrot 72.7. apakšpunktu.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Čudars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25-TA-1905</w:t>
    </w:r>
    <w:r>
      <w:br/>
    </w:r>
    <w:r w:rsidR="00000000" w:rsidRPr="00000000" w:rsidDel="00000000">
      <w:rPr>
        <w:rtl w:val="0"/>
      </w:rPr>
      <w:t xml:space="preserve">Izdrukāts 29.07.2026. 21.18 - 1.0.VK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25-TA-1905</w:t>
    </w:r>
    <w:r>
      <w:br/>
    </w:r>
    <w:r w:rsidR="00000000" w:rsidRPr="00000000" w:rsidDel="00000000">
      <w:rPr>
        <w:rtl w:val="0"/>
      </w:rPr>
      <w:t xml:space="preserve">Izdrukāts 29.07.2026. 21.18 - 1.0.VK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noteikumu_(grozījumu)_projekts_25-TA-1905.docx</dc:title>
</cp:coreProperties>
</file>

<file path=docProps/custom.xml><?xml version="1.0" encoding="utf-8"?>
<Properties xmlns="http://schemas.openxmlformats.org/officeDocument/2006/custom-properties" xmlns:vt="http://schemas.openxmlformats.org/officeDocument/2006/docPropsVTypes"/>
</file>