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02.11.2022. noteikumu Nr. 685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3389"/>
        <w:gridCol w:w="3389"/>
        <w:gridCol w:w="6071"/>
        <w:tblGridChange w:id="0">
          <w:tblGrid>
            <w:gridCol w:w="3389"/>
            <w:gridCol w:w="3389"/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kurām cukurs pievienots osmotiskās žāvēšanas tehnoloģiskajā procesā un tā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rudzu–kviešu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 lielāka kā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Parlamenta un Padomes 2008. gada 16. decembra Regulas (EK) Nr. 1334/2008 par aromatizētājiem un dažām pārtikas sastāvdaļām ar aromatizētāju īpašībām izmantošanai pārtikā un uz tās un par grozījumiem Padomes Regulā (EEK) Nr. 1601/91, Regulās (EK) Nr. 2232/96 un (EK) Nr. 110/2008 un Direktīvā 2000/13/EK 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Parlamenta un Padomes 2008. gada 16. decembra Regulas (EK) Nr. 1333/2008 par pārtikas piedevām (turpmāk – regula Nr. 1333/2008) II 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Nr. 1333/2008.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noteikumu_konsolidētā_versija_p15_24-TA-760.docx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